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pPr>
      <w:bookmarkStart w:id="1" w:name="_GoBack"/>
      <w:bookmarkEnd w:id="1"/>
      <w:r>
        <w:rPr>
          <w:rFonts w:hint="eastAsia" w:ascii="方正小标宋简体" w:hAnsi="方正小标宋简体" w:eastAsia="方正小标宋简体" w:cs="方正小标宋简体"/>
          <w:sz w:val="44"/>
          <w:szCs w:val="44"/>
        </w:rPr>
        <w:t>行政复议及行政应诉专项法律服务</w:t>
      </w:r>
      <w:r>
        <w:rPr>
          <w:rFonts w:hint="eastAsia"/>
        </w:rPr>
        <w:t>项目评分表</w:t>
      </w:r>
    </w:p>
    <w:tbl>
      <w:tblPr>
        <w:tblStyle w:val="18"/>
        <w:tblpPr w:leftFromText="180" w:rightFromText="180" w:vertAnchor="text" w:horzAnchor="page" w:tblpXSpec="center" w:tblpY="725"/>
        <w:tblOverlap w:val="never"/>
        <w:tblW w:w="88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1427"/>
        <w:gridCol w:w="709"/>
        <w:gridCol w:w="5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36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b/>
                <w:color w:val="000000" w:themeColor="text1"/>
                <w:spacing w:val="-6"/>
                <w:sz w:val="24"/>
                <w:szCs w:val="24"/>
                <w:highlight w:val="none"/>
                <w14:textFill>
                  <w14:solidFill>
                    <w14:schemeClr w14:val="tx1"/>
                  </w14:solidFill>
                </w14:textFill>
              </w:rPr>
            </w:pPr>
            <w:bookmarkStart w:id="0" w:name="heading_0"/>
            <w:r>
              <w:rPr>
                <w:rFonts w:hint="eastAsia" w:ascii="宋体" w:hAnsi="宋体"/>
                <w:b/>
                <w:color w:val="000000" w:themeColor="text1"/>
                <w:spacing w:val="-6"/>
                <w:sz w:val="24"/>
                <w:szCs w:val="24"/>
                <w:highlight w:val="none"/>
                <w14:textFill>
                  <w14:solidFill>
                    <w14:schemeClr w14:val="tx1"/>
                  </w14:solidFill>
                </w14:textFill>
              </w:rPr>
              <w:t>评标项目</w:t>
            </w:r>
          </w:p>
        </w:tc>
        <w:tc>
          <w:tcPr>
            <w:tcW w:w="142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评标分项</w:t>
            </w:r>
          </w:p>
        </w:tc>
        <w:tc>
          <w:tcPr>
            <w:tcW w:w="709" w:type="dxa"/>
            <w:vAlign w:val="center"/>
          </w:tcPr>
          <w:p>
            <w:pPr>
              <w:keepNext w:val="0"/>
              <w:keepLines w:val="0"/>
              <w:suppressLineNumbers w:val="0"/>
              <w:snapToGrid w:val="0"/>
              <w:spacing w:before="0" w:beforeAutospacing="0" w:after="0" w:afterAutospacing="0"/>
              <w:ind w:left="0" w:right="0"/>
              <w:jc w:val="center"/>
              <w:rPr>
                <w:rFonts w:hint="default"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分值</w:t>
            </w:r>
          </w:p>
        </w:tc>
        <w:tc>
          <w:tcPr>
            <w:tcW w:w="5389" w:type="dxa"/>
            <w:vAlign w:val="center"/>
          </w:tcPr>
          <w:p>
            <w:pPr>
              <w:keepNext w:val="0"/>
              <w:keepLines w:val="0"/>
              <w:suppressLineNumbers w:val="0"/>
              <w:snapToGrid w:val="0"/>
              <w:spacing w:before="0" w:beforeAutospacing="0" w:after="0" w:afterAutospacing="0"/>
              <w:ind w:left="0" w:right="0"/>
              <w:jc w:val="center"/>
              <w:rPr>
                <w:rFonts w:hint="default"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子项目及分值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jc w:val="center"/>
        </w:trPr>
        <w:tc>
          <w:tcPr>
            <w:tcW w:w="1368" w:type="dxa"/>
            <w:vMerge w:val="restart"/>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themeColor="text1"/>
                <w:spacing w:val="-6"/>
                <w:sz w:val="24"/>
                <w:szCs w:val="24"/>
                <w:highlight w:val="none"/>
                <w14:textFill>
                  <w14:solidFill>
                    <w14:schemeClr w14:val="tx1"/>
                  </w14:solidFill>
                </w14:textFill>
              </w:rPr>
            </w:pPr>
            <w:r>
              <w:rPr>
                <w:rFonts w:hint="eastAsia" w:ascii="宋体" w:hAnsi="宋体"/>
                <w:color w:val="000000" w:themeColor="text1"/>
                <w:spacing w:val="-6"/>
                <w:sz w:val="24"/>
                <w:szCs w:val="24"/>
                <w:highlight w:val="none"/>
                <w:lang w:eastAsia="zh-CN"/>
                <w14:textFill>
                  <w14:solidFill>
                    <w14:schemeClr w14:val="tx1"/>
                  </w14:solidFill>
                </w14:textFill>
              </w:rPr>
              <w:t>业务</w:t>
            </w:r>
            <w:r>
              <w:rPr>
                <w:rFonts w:hint="eastAsia" w:ascii="宋体" w:hAnsi="宋体"/>
                <w:color w:val="000000" w:themeColor="text1"/>
                <w:spacing w:val="-6"/>
                <w:sz w:val="24"/>
                <w:szCs w:val="24"/>
                <w:highlight w:val="none"/>
                <w14:textFill>
                  <w14:solidFill>
                    <w14:schemeClr w14:val="tx1"/>
                  </w14:solidFill>
                </w14:textFill>
              </w:rPr>
              <w:t>部分</w:t>
            </w:r>
          </w:p>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themeColor="text1"/>
                <w:spacing w:val="-6"/>
                <w:sz w:val="24"/>
                <w:szCs w:val="24"/>
                <w:highlight w:val="none"/>
                <w14:textFill>
                  <w14:solidFill>
                    <w14:schemeClr w14:val="tx1"/>
                  </w14:solidFill>
                </w14:textFill>
              </w:rPr>
            </w:pPr>
            <w:r>
              <w:rPr>
                <w:rFonts w:hint="eastAsia" w:ascii="宋体" w:hAnsi="宋体"/>
                <w:color w:val="000000" w:themeColor="text1"/>
                <w:spacing w:val="-6"/>
                <w:sz w:val="24"/>
                <w:szCs w:val="24"/>
                <w:highlight w:val="none"/>
                <w14:textFill>
                  <w14:solidFill>
                    <w14:schemeClr w14:val="tx1"/>
                  </w14:solidFill>
                </w14:textFill>
              </w:rPr>
              <w:t>（</w:t>
            </w:r>
            <w:r>
              <w:rPr>
                <w:rFonts w:hint="eastAsia" w:ascii="宋体" w:hAnsi="宋体"/>
                <w:color w:val="000000" w:themeColor="text1"/>
                <w:spacing w:val="-6"/>
                <w:sz w:val="24"/>
                <w:szCs w:val="24"/>
                <w:highlight w:val="none"/>
                <w:lang w:val="en-US" w:eastAsia="zh-CN"/>
                <w14:textFill>
                  <w14:solidFill>
                    <w14:schemeClr w14:val="tx1"/>
                  </w14:solidFill>
                </w14:textFill>
              </w:rPr>
              <w:t>50</w:t>
            </w:r>
            <w:r>
              <w:rPr>
                <w:rFonts w:hint="eastAsia" w:ascii="宋体" w:hAnsi="宋体"/>
                <w:color w:val="000000" w:themeColor="text1"/>
                <w:spacing w:val="-6"/>
                <w:sz w:val="24"/>
                <w:szCs w:val="24"/>
                <w:highlight w:val="none"/>
                <w14:textFill>
                  <w14:solidFill>
                    <w14:schemeClr w14:val="tx1"/>
                  </w14:solidFill>
                </w14:textFill>
              </w:rPr>
              <w:t>分）</w:t>
            </w:r>
          </w:p>
        </w:tc>
        <w:tc>
          <w:tcPr>
            <w:tcW w:w="1427" w:type="dxa"/>
            <w:tcBorders>
              <w:top w:val="single" w:color="auto" w:sz="4" w:space="0"/>
            </w:tcBorders>
            <w:vAlign w:val="center"/>
          </w:tcPr>
          <w:p>
            <w:pPr>
              <w:keepNext w:val="0"/>
              <w:keepLines w:val="0"/>
              <w:widowControl/>
              <w:suppressLineNumbers w:val="0"/>
              <w:autoSpaceDE w:val="0"/>
              <w:autoSpaceDN/>
              <w:spacing w:before="0" w:beforeAutospacing="0" w:after="0" w:afterAutospacing="0" w:line="500" w:lineRule="exact"/>
              <w:ind w:left="0" w:leftChars="0" w:right="0" w:rightChars="0"/>
              <w:jc w:val="center"/>
              <w:textAlignment w:val="center"/>
              <w:rPr>
                <w:rFonts w:hint="default" w:ascii="宋体" w:hAnsi="宋体" w:cs="宋体"/>
                <w:i w:val="0"/>
                <w:iCs w:val="0"/>
                <w:color w:val="000000" w:themeColor="text1"/>
                <w:kern w:val="0"/>
                <w:sz w:val="24"/>
                <w:szCs w:val="24"/>
                <w:highlight w:val="none"/>
                <w:lang w:val="en-US" w:eastAsia="zh-CN"/>
                <w14:textFill>
                  <w14:solidFill>
                    <w14:schemeClr w14:val="tx1"/>
                  </w14:solidFill>
                </w14:textFill>
              </w:rPr>
            </w:pPr>
            <w:r>
              <w:rPr>
                <w:rFonts w:hint="eastAsia" w:ascii="宋体" w:hAnsi="宋体" w:cs="宋体"/>
                <w:i w:val="0"/>
                <w:iCs w:val="0"/>
                <w:color w:val="000000" w:themeColor="text1"/>
                <w:kern w:val="0"/>
                <w:sz w:val="24"/>
                <w:szCs w:val="24"/>
                <w:highlight w:val="none"/>
                <w:lang w:val="en-US" w:eastAsia="zh-CN"/>
                <w14:textFill>
                  <w14:solidFill>
                    <w14:schemeClr w14:val="tx1"/>
                  </w14:solidFill>
                </w14:textFill>
              </w:rPr>
              <w:t>案例业绩</w:t>
            </w:r>
          </w:p>
        </w:tc>
        <w:tc>
          <w:tcPr>
            <w:tcW w:w="709" w:type="dxa"/>
            <w:vAlign w:val="center"/>
          </w:tcPr>
          <w:p>
            <w:pPr>
              <w:keepNext w:val="0"/>
              <w:keepLines w:val="0"/>
              <w:widowControl/>
              <w:suppressLineNumbers w:val="0"/>
              <w:autoSpaceDE w:val="0"/>
              <w:autoSpaceDN/>
              <w:spacing w:before="0" w:beforeAutospacing="0" w:after="0" w:afterAutospacing="0" w:line="500" w:lineRule="exact"/>
              <w:ind w:left="0" w:leftChars="0" w:right="0" w:rightChars="0"/>
              <w:jc w:val="center"/>
              <w:textAlignment w:val="center"/>
              <w:rPr>
                <w:rFonts w:hint="default" w:ascii="宋体" w:hAnsi="宋体" w:cs="宋体"/>
                <w:i w:val="0"/>
                <w:iCs w:val="0"/>
                <w:color w:val="000000" w:themeColor="text1"/>
                <w:kern w:val="0"/>
                <w:sz w:val="24"/>
                <w:szCs w:val="24"/>
                <w:highlight w:val="none"/>
                <w:lang w:val="en-US" w:eastAsia="zh-CN"/>
                <w14:textFill>
                  <w14:solidFill>
                    <w14:schemeClr w14:val="tx1"/>
                  </w14:solidFill>
                </w14:textFill>
              </w:rPr>
            </w:pPr>
            <w:r>
              <w:rPr>
                <w:rFonts w:hint="eastAsia" w:ascii="宋体" w:hAnsi="宋体" w:cs="宋体"/>
                <w:i w:val="0"/>
                <w:iCs w:val="0"/>
                <w:color w:val="000000" w:themeColor="text1"/>
                <w:kern w:val="0"/>
                <w:sz w:val="24"/>
                <w:szCs w:val="24"/>
                <w:highlight w:val="none"/>
                <w:lang w:val="en-US" w:eastAsia="zh-CN"/>
                <w14:textFill>
                  <w14:solidFill>
                    <w14:schemeClr w14:val="tx1"/>
                  </w14:solidFill>
                </w14:textFill>
              </w:rPr>
              <w:t>25</w:t>
            </w:r>
          </w:p>
        </w:tc>
        <w:tc>
          <w:tcPr>
            <w:tcW w:w="5389" w:type="dxa"/>
            <w:vAlign w:val="center"/>
          </w:tcPr>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1.近3年内，律所具备代理区县级以上人民政府作为复议机关的行政诉讼案件业绩，提供1份证明得2分，最高10分；</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2.近3年内，律所具备代理区县级以上人民政府的行政诉讼案件业绩，提供1份证明得2分，最高10分；</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3.在所代理的行政复议或行政诉讼案件中，每代理1件地市级政府的案件，或在高级人民法院、最高人民法院代理行政机关取得胜诉法律文书的，每件加1分，本项最高加5分。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368" w:type="dxa"/>
            <w:vMerge w:val="continue"/>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themeColor="text1"/>
                <w:spacing w:val="-6"/>
                <w:sz w:val="24"/>
                <w:szCs w:val="24"/>
                <w:highlight w:val="none"/>
                <w14:textFill>
                  <w14:solidFill>
                    <w14:schemeClr w14:val="tx1"/>
                  </w14:solidFill>
                </w14:textFill>
              </w:rPr>
            </w:pPr>
          </w:p>
        </w:tc>
        <w:tc>
          <w:tcPr>
            <w:tcW w:w="1427" w:type="dxa"/>
            <w:tcBorders>
              <w:top w:val="single" w:color="auto" w:sz="4" w:space="0"/>
            </w:tcBorders>
            <w:vAlign w:val="center"/>
          </w:tcPr>
          <w:p>
            <w:pPr>
              <w:keepNext w:val="0"/>
              <w:keepLines w:val="0"/>
              <w:widowControl/>
              <w:suppressLineNumbers w:val="0"/>
              <w:autoSpaceDE w:val="0"/>
              <w:autoSpaceDN/>
              <w:spacing w:before="0" w:beforeAutospacing="0" w:after="0" w:afterAutospacing="0" w:line="500" w:lineRule="exact"/>
              <w:ind w:left="0" w:leftChars="0" w:right="0" w:rightChars="0"/>
              <w:jc w:val="center"/>
              <w:textAlignment w:val="center"/>
              <w:rPr>
                <w:rFonts w:hint="default" w:ascii="宋体" w:hAnsi="宋体" w:eastAsia="宋体" w:cs="宋体"/>
                <w:i w:val="0"/>
                <w:iCs w:val="0"/>
                <w:color w:val="000000" w:themeColor="text1"/>
                <w:kern w:val="0"/>
                <w:sz w:val="24"/>
                <w:szCs w:val="24"/>
                <w:highlight w:val="none"/>
                <w:lang w:val="en" w:eastAsia="zh-CN"/>
                <w14:textFill>
                  <w14:solidFill>
                    <w14:schemeClr w14:val="tx1"/>
                  </w14:solidFill>
                </w14:textFill>
              </w:rPr>
            </w:pPr>
            <w:r>
              <w:rPr>
                <w:rFonts w:hint="eastAsia" w:ascii="宋体" w:hAnsi="宋体" w:cs="宋体"/>
                <w:i w:val="0"/>
                <w:iCs w:val="0"/>
                <w:color w:val="000000" w:themeColor="text1"/>
                <w:kern w:val="0"/>
                <w:sz w:val="24"/>
                <w:szCs w:val="24"/>
                <w:highlight w:val="none"/>
                <w:lang w:val="en-US" w:eastAsia="zh-CN"/>
                <w14:textFill>
                  <w14:solidFill>
                    <w14:schemeClr w14:val="tx1"/>
                  </w14:solidFill>
                </w14:textFill>
              </w:rPr>
              <w:t>人员配备</w:t>
            </w:r>
          </w:p>
        </w:tc>
        <w:tc>
          <w:tcPr>
            <w:tcW w:w="709" w:type="dxa"/>
            <w:vAlign w:val="center"/>
          </w:tcPr>
          <w:p>
            <w:pPr>
              <w:keepNext w:val="0"/>
              <w:keepLines w:val="0"/>
              <w:widowControl/>
              <w:suppressLineNumbers w:val="0"/>
              <w:autoSpaceDE w:val="0"/>
              <w:autoSpaceDN/>
              <w:spacing w:before="0" w:beforeAutospacing="0" w:after="0" w:afterAutospacing="0" w:line="500" w:lineRule="exact"/>
              <w:ind w:left="0" w:leftChars="0" w:right="0" w:rightChars="0"/>
              <w:jc w:val="center"/>
              <w:textAlignment w:val="center"/>
              <w:rPr>
                <w:rFonts w:hint="default" w:ascii="宋体" w:hAnsi="宋体" w:eastAsia="宋体" w:cs="宋体"/>
                <w:i w:val="0"/>
                <w:iCs w:val="0"/>
                <w:color w:val="000000" w:themeColor="text1"/>
                <w:kern w:val="0"/>
                <w:sz w:val="24"/>
                <w:szCs w:val="24"/>
                <w:highlight w:val="none"/>
                <w:lang w:val="en-US" w:eastAsia="zh-CN"/>
                <w14:textFill>
                  <w14:solidFill>
                    <w14:schemeClr w14:val="tx1"/>
                  </w14:solidFill>
                </w14:textFill>
              </w:rPr>
            </w:pPr>
            <w:r>
              <w:rPr>
                <w:rFonts w:hint="eastAsia" w:ascii="宋体" w:hAnsi="宋体" w:cs="宋体"/>
                <w:i w:val="0"/>
                <w:iCs w:val="0"/>
                <w:color w:val="000000" w:themeColor="text1"/>
                <w:kern w:val="0"/>
                <w:sz w:val="24"/>
                <w:szCs w:val="24"/>
                <w:highlight w:val="none"/>
                <w:lang w:val="en-US" w:eastAsia="zh-CN"/>
                <w14:textFill>
                  <w14:solidFill>
                    <w14:schemeClr w14:val="tx1"/>
                  </w14:solidFill>
                </w14:textFill>
              </w:rPr>
              <w:t>25</w:t>
            </w:r>
          </w:p>
        </w:tc>
        <w:tc>
          <w:tcPr>
            <w:tcW w:w="53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团队执业律师：团队中含具备8年以上律师执业经验，近3年无司法行政机关行政处罚、律师协会行业处分，近1年承办过代理行政机关的行政复议或者行政诉讼案件至少2件且承诺亲自承办本项目法律事务的执业律师，每满足1名得5分，最高15分，执业律师中不能满足以上条件的，每不满足1项扣1分；不满足承诺组建不少于5人、执业律师不少于3人服务团队的不得分。</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承诺提供工作日常驻服务的，得5分。</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3.团队成员如有专业行政争议调解机构调解员经历的，每1人得1分，最高2分。</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4.承诺项目服务团队人员非经采购人同意不得随意更换得3分，未承诺不得分。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1368" w:type="dxa"/>
            <w:vMerge w:val="restart"/>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themeColor="text1"/>
                <w:spacing w:val="-6"/>
                <w:sz w:val="24"/>
                <w:szCs w:val="24"/>
                <w:highlight w:val="none"/>
                <w14:textFill>
                  <w14:solidFill>
                    <w14:schemeClr w14:val="tx1"/>
                  </w14:solidFill>
                </w14:textFill>
              </w:rPr>
            </w:pPr>
            <w:r>
              <w:rPr>
                <w:rFonts w:hint="eastAsia" w:ascii="宋体" w:hAnsi="宋体"/>
                <w:color w:val="000000" w:themeColor="text1"/>
                <w:spacing w:val="-6"/>
                <w:sz w:val="24"/>
                <w:szCs w:val="24"/>
                <w:highlight w:val="none"/>
                <w14:textFill>
                  <w14:solidFill>
                    <w14:schemeClr w14:val="tx1"/>
                  </w14:solidFill>
                </w14:textFill>
              </w:rPr>
              <w:t>技术部分</w:t>
            </w:r>
          </w:p>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themeColor="text1"/>
                <w:spacing w:val="-6"/>
                <w:sz w:val="24"/>
                <w:szCs w:val="24"/>
                <w:highlight w:val="none"/>
                <w14:textFill>
                  <w14:solidFill>
                    <w14:schemeClr w14:val="tx1"/>
                  </w14:solidFill>
                </w14:textFill>
              </w:rPr>
            </w:pPr>
            <w:r>
              <w:rPr>
                <w:rFonts w:hint="eastAsia" w:ascii="宋体" w:hAnsi="宋体"/>
                <w:color w:val="000000" w:themeColor="text1"/>
                <w:spacing w:val="-6"/>
                <w:sz w:val="24"/>
                <w:szCs w:val="24"/>
                <w:highlight w:val="none"/>
                <w14:textFill>
                  <w14:solidFill>
                    <w14:schemeClr w14:val="tx1"/>
                  </w14:solidFill>
                </w14:textFill>
              </w:rPr>
              <w:t>（</w:t>
            </w:r>
            <w:r>
              <w:rPr>
                <w:rFonts w:hint="eastAsia" w:ascii="宋体" w:hAnsi="宋体"/>
                <w:color w:val="000000" w:themeColor="text1"/>
                <w:spacing w:val="-6"/>
                <w:sz w:val="24"/>
                <w:szCs w:val="24"/>
                <w:highlight w:val="none"/>
                <w:lang w:val="en-US" w:eastAsia="zh-CN"/>
                <w14:textFill>
                  <w14:solidFill>
                    <w14:schemeClr w14:val="tx1"/>
                  </w14:solidFill>
                </w14:textFill>
              </w:rPr>
              <w:t>50分</w:t>
            </w:r>
            <w:r>
              <w:rPr>
                <w:rFonts w:hint="eastAsia" w:ascii="宋体" w:hAnsi="宋体"/>
                <w:color w:val="000000" w:themeColor="text1"/>
                <w:spacing w:val="-6"/>
                <w:sz w:val="24"/>
                <w:szCs w:val="24"/>
                <w:highlight w:val="none"/>
                <w14:textFill>
                  <w14:solidFill>
                    <w14:schemeClr w14:val="tx1"/>
                  </w14:solidFill>
                </w14:textFill>
              </w:rPr>
              <w:t>）</w:t>
            </w:r>
          </w:p>
        </w:tc>
        <w:tc>
          <w:tcPr>
            <w:tcW w:w="1427" w:type="dxa"/>
            <w:tcBorders>
              <w:top w:val="single" w:color="auto" w:sz="4" w:space="0"/>
            </w:tcBorders>
            <w:vAlign w:val="center"/>
          </w:tcPr>
          <w:p>
            <w:pPr>
              <w:jc w:val="center"/>
              <w:rPr>
                <w:rFonts w:hint="eastAsia" w:ascii="宋体" w:hAnsi="宋体" w:eastAsia="宋体" w:cs="宋体"/>
                <w:color w:val="000000" w:themeColor="text1"/>
                <w:sz w:val="24"/>
                <w:szCs w:val="24"/>
                <w:highlight w:val="none"/>
                <w14:textFill>
                  <w14:solidFill>
                    <w14:schemeClr w14:val="tx1"/>
                  </w14:solidFill>
                </w14:textFill>
              </w:rPr>
            </w:pPr>
          </w:p>
          <w:p>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整体服务方案</w:t>
            </w:r>
          </w:p>
          <w:p>
            <w:pPr>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p>
        </w:tc>
        <w:tc>
          <w:tcPr>
            <w:tcW w:w="709" w:type="dxa"/>
            <w:vAlign w:val="center"/>
          </w:tcPr>
          <w:p>
            <w:pPr>
              <w:keepNext w:val="0"/>
              <w:keepLines w:val="0"/>
              <w:widowControl/>
              <w:suppressLineNumbers w:val="0"/>
              <w:autoSpaceDE w:val="0"/>
              <w:autoSpaceDN/>
              <w:spacing w:before="0" w:beforeAutospacing="0" w:after="0" w:afterAutospacing="0" w:line="500" w:lineRule="exact"/>
              <w:ind w:left="0" w:leftChars="0" w:right="0" w:rightChars="0"/>
              <w:jc w:val="center"/>
              <w:textAlignment w:val="center"/>
              <w:rPr>
                <w:rFonts w:hint="default" w:ascii="宋体" w:hAnsi="宋体" w:eastAsia="宋体" w:cs="宋体"/>
                <w:i w:val="0"/>
                <w:iCs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val="en-US" w:eastAsia="zh-CN"/>
                <w14:textFill>
                  <w14:solidFill>
                    <w14:schemeClr w14:val="tx1"/>
                  </w14:solidFill>
                </w14:textFill>
              </w:rPr>
              <w:t>0</w:t>
            </w:r>
          </w:p>
        </w:tc>
        <w:tc>
          <w:tcPr>
            <w:tcW w:w="5389" w:type="dxa"/>
            <w:vAlign w:val="center"/>
          </w:tcPr>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针对本项目，整体服务方案完整，对项目背景、服务目标理解到位，团队分工清晰，工作流程设计合理得10分；方案有欠缺酌情扣减，未提供不得分。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8" w:hRule="atLeast"/>
          <w:jc w:val="center"/>
        </w:trPr>
        <w:tc>
          <w:tcPr>
            <w:tcW w:w="1368" w:type="dxa"/>
            <w:vMerge w:val="continue"/>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color w:val="000000" w:themeColor="text1"/>
                <w:spacing w:val="-6"/>
                <w:sz w:val="24"/>
                <w:szCs w:val="24"/>
                <w:highlight w:val="none"/>
                <w14:textFill>
                  <w14:solidFill>
                    <w14:schemeClr w14:val="tx1"/>
                  </w14:solidFill>
                </w14:textFill>
              </w:rPr>
            </w:pPr>
          </w:p>
        </w:tc>
        <w:tc>
          <w:tcPr>
            <w:tcW w:w="1427" w:type="dxa"/>
            <w:tcBorders>
              <w:top w:val="single" w:color="auto" w:sz="4" w:space="0"/>
            </w:tcBorders>
            <w:vAlign w:val="center"/>
          </w:tcPr>
          <w:p>
            <w:pPr>
              <w:keepNext w:val="0"/>
              <w:keepLines w:val="0"/>
              <w:widowControl/>
              <w:suppressLineNumbers w:val="0"/>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案卷管理及质量管控方案</w:t>
            </w:r>
          </w:p>
        </w:tc>
        <w:tc>
          <w:tcPr>
            <w:tcW w:w="709" w:type="dxa"/>
            <w:vAlign w:val="center"/>
          </w:tcPr>
          <w:p>
            <w:pPr>
              <w:keepNext w:val="0"/>
              <w:keepLines w:val="0"/>
              <w:widowControl/>
              <w:suppressLineNumbers w:val="0"/>
              <w:autoSpaceDE w:val="0"/>
              <w:autoSpaceDN/>
              <w:spacing w:before="0" w:beforeAutospacing="0" w:after="0" w:afterAutospacing="0" w:line="500" w:lineRule="exact"/>
              <w:ind w:right="0" w:rightChars="0"/>
              <w:jc w:val="center"/>
              <w:textAlignment w:val="center"/>
              <w:rPr>
                <w:rFonts w:hint="default" w:ascii="宋体" w:hAnsi="宋体" w:eastAsia="宋体" w:cs="宋体"/>
                <w:i w:val="0"/>
                <w:iCs w:val="0"/>
                <w:color w:val="000000" w:themeColor="text1"/>
                <w:kern w:val="0"/>
                <w:sz w:val="24"/>
                <w:szCs w:val="24"/>
                <w:highlight w:val="none"/>
                <w:lang w:val="en-US" w:eastAsia="zh-CN"/>
                <w14:textFill>
                  <w14:solidFill>
                    <w14:schemeClr w14:val="tx1"/>
                  </w14:solidFill>
                </w14:textFill>
              </w:rPr>
            </w:pPr>
            <w:r>
              <w:rPr>
                <w:rFonts w:hint="eastAsia" w:ascii="宋体" w:hAnsi="宋体" w:cs="宋体"/>
                <w:i w:val="0"/>
                <w:iCs w:val="0"/>
                <w:color w:val="000000" w:themeColor="text1"/>
                <w:kern w:val="0"/>
                <w:sz w:val="24"/>
                <w:szCs w:val="24"/>
                <w:highlight w:val="none"/>
                <w:lang w:val="en-US" w:eastAsia="zh-CN"/>
                <w14:textFill>
                  <w14:solidFill>
                    <w14:schemeClr w14:val="tx1"/>
                  </w14:solidFill>
                </w14:textFill>
              </w:rPr>
              <w:t>5</w:t>
            </w:r>
          </w:p>
        </w:tc>
        <w:tc>
          <w:tcPr>
            <w:tcW w:w="5389" w:type="dxa"/>
            <w:vAlign w:val="center"/>
          </w:tcPr>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针对复议辅助办案的档案整理、流程节点管控、案件质量验收、不合格人员更换机制制定专项方案。方案完善、贴合采购方案质量监管要求得5分；方案一般得2-4分；方案缺失或严重不匹配得0-1分；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2" w:hRule="atLeast"/>
          <w:jc w:val="center"/>
        </w:trPr>
        <w:tc>
          <w:tcPr>
            <w:tcW w:w="1368" w:type="dxa"/>
            <w:vMerge w:val="continue"/>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themeColor="text1"/>
                <w:spacing w:val="-6"/>
                <w:sz w:val="24"/>
                <w:szCs w:val="24"/>
                <w:highlight w:val="none"/>
                <w14:textFill>
                  <w14:solidFill>
                    <w14:schemeClr w14:val="tx1"/>
                  </w14:solidFill>
                </w14:textFill>
              </w:rPr>
            </w:pPr>
          </w:p>
        </w:tc>
        <w:tc>
          <w:tcPr>
            <w:tcW w:w="1427" w:type="dxa"/>
            <w:tcBorders>
              <w:top w:val="single" w:color="auto" w:sz="4" w:space="0"/>
            </w:tcBorders>
            <w:vAlign w:val="center"/>
          </w:tcPr>
          <w:p>
            <w:pPr>
              <w:keepNext w:val="0"/>
              <w:keepLines w:val="0"/>
              <w:widowControl/>
              <w:suppressLineNumbers w:val="0"/>
              <w:jc w:val="center"/>
              <w:rPr>
                <w:rFonts w:hint="default" w:ascii="宋体" w:hAnsi="宋体" w:eastAsia="宋体" w:cs="宋体"/>
                <w:color w:val="000000" w:themeColor="text1"/>
                <w:sz w:val="24"/>
                <w:szCs w:val="24"/>
                <w:highlight w:val="none"/>
                <w:lang w:val="en-US" w:eastAsia="zh-CN" w:bidi="ar-SA"/>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行政</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复议办案及</w:t>
            </w:r>
            <w:r>
              <w:rPr>
                <w:rFonts w:ascii="宋体" w:hAnsi="宋体" w:eastAsia="宋体" w:cs="宋体"/>
                <w:color w:val="000000" w:themeColor="text1"/>
                <w:kern w:val="0"/>
                <w:sz w:val="24"/>
                <w:szCs w:val="24"/>
                <w:highlight w:val="none"/>
                <w:lang w:val="en-US" w:eastAsia="zh-CN" w:bidi="ar"/>
                <w14:textFill>
                  <w14:solidFill>
                    <w14:schemeClr w14:val="tx1"/>
                  </w14:solidFill>
                </w14:textFill>
              </w:rPr>
              <w:t>诉讼应诉服务方案</w:t>
            </w:r>
          </w:p>
        </w:tc>
        <w:tc>
          <w:tcPr>
            <w:tcW w:w="709" w:type="dxa"/>
            <w:vAlign w:val="center"/>
          </w:tcPr>
          <w:p>
            <w:pPr>
              <w:keepNext w:val="0"/>
              <w:keepLines w:val="0"/>
              <w:widowControl/>
              <w:suppressLineNumbers w:val="0"/>
              <w:autoSpaceDE w:val="0"/>
              <w:autoSpaceDN/>
              <w:spacing w:before="0" w:beforeAutospacing="0" w:after="0" w:afterAutospacing="0" w:line="500" w:lineRule="exact"/>
              <w:ind w:left="0" w:leftChars="0" w:right="0" w:rightChars="0"/>
              <w:jc w:val="center"/>
              <w:textAlignment w:val="center"/>
              <w:rPr>
                <w:rFonts w:hint="default" w:ascii="宋体" w:hAnsi="宋体" w:eastAsia="宋体" w:cs="宋体"/>
                <w:i w:val="0"/>
                <w:iCs w:val="0"/>
                <w:color w:val="000000" w:themeColor="text1"/>
                <w:kern w:val="0"/>
                <w:sz w:val="24"/>
                <w:szCs w:val="24"/>
                <w:highlight w:val="none"/>
                <w:lang w:val="en-US" w:eastAsia="zh-CN"/>
                <w14:textFill>
                  <w14:solidFill>
                    <w14:schemeClr w14:val="tx1"/>
                  </w14:solidFill>
                </w14:textFill>
              </w:rPr>
            </w:pPr>
            <w:r>
              <w:rPr>
                <w:rFonts w:hint="eastAsia" w:ascii="宋体" w:hAnsi="宋体" w:cs="宋体"/>
                <w:i w:val="0"/>
                <w:iCs w:val="0"/>
                <w:color w:val="000000" w:themeColor="text1"/>
                <w:kern w:val="0"/>
                <w:sz w:val="24"/>
                <w:szCs w:val="24"/>
                <w:highlight w:val="none"/>
                <w:lang w:val="en-US" w:eastAsia="zh-CN"/>
                <w14:textFill>
                  <w14:solidFill>
                    <w14:schemeClr w14:val="tx1"/>
                  </w14:solidFill>
                </w14:textFill>
              </w:rPr>
              <w:t>20</w:t>
            </w:r>
          </w:p>
        </w:tc>
        <w:tc>
          <w:tcPr>
            <w:tcW w:w="5389" w:type="dxa"/>
            <w:vAlign w:val="center"/>
          </w:tcPr>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行政复议辅助办案：对当事人接待、法律咨询、法律查明、文书草拟、听取意见、听证组织、调查协助、矛盾调解、送达、档案整理等全部辅助工作，工作流程清晰、岗位职责划分明确，能够区分哪些工作属于辅助事务、哪些属于采购人审核审批权责；方案完全响应采购需求得10分；主要内容缺失1-2项扣3-5分；核心工作未响应酌情得0-5分。</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行政诉讼应诉服务：围绕应诉答辩材料起草、案件协调、出庭应诉，结合本项目“按件分诉讼阶段计价、总价包干，年度应诉不少于14件、复议辅助不少于115件，超量不计费”的采购要求，明确承办流程、材料报送、沟通对接、出庭保障机制；方案完整贴合询价要求得10分；关键缺项酌情扣分，未提供本专项方案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2" w:hRule="atLeast"/>
          <w:jc w:val="center"/>
        </w:trPr>
        <w:tc>
          <w:tcPr>
            <w:tcW w:w="1368" w:type="dxa"/>
            <w:vMerge w:val="continue"/>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themeColor="text1"/>
                <w:spacing w:val="-6"/>
                <w:sz w:val="24"/>
                <w:szCs w:val="24"/>
                <w:highlight w:val="none"/>
                <w14:textFill>
                  <w14:solidFill>
                    <w14:schemeClr w14:val="tx1"/>
                  </w14:solidFill>
                </w14:textFill>
              </w:rPr>
            </w:pPr>
          </w:p>
        </w:tc>
        <w:tc>
          <w:tcPr>
            <w:tcW w:w="1427" w:type="dxa"/>
            <w:tcBorders>
              <w:top w:val="single" w:color="auto" w:sz="4" w:space="0"/>
            </w:tcBorders>
            <w:vAlign w:val="center"/>
          </w:tcPr>
          <w:p>
            <w:pPr>
              <w:keepNext w:val="0"/>
              <w:keepLines w:val="0"/>
              <w:widowControl/>
              <w:suppressLineNumbers w:val="0"/>
              <w:jc w:val="center"/>
              <w:rPr>
                <w:rFonts w:ascii="宋体" w:hAnsi="宋体" w:eastAsia="宋体" w:cs="宋体"/>
                <w:color w:val="000000" w:themeColor="text1"/>
                <w:kern w:val="0"/>
                <w:sz w:val="24"/>
                <w:szCs w:val="24"/>
                <w:highlight w:val="none"/>
                <w:lang w:val="en-US" w:eastAsia="zh-CN" w:bidi="ar"/>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服务保障及响应机制</w:t>
            </w:r>
          </w:p>
        </w:tc>
        <w:tc>
          <w:tcPr>
            <w:tcW w:w="709" w:type="dxa"/>
            <w:vAlign w:val="center"/>
          </w:tcPr>
          <w:p>
            <w:pPr>
              <w:keepNext w:val="0"/>
              <w:keepLines w:val="0"/>
              <w:widowControl/>
              <w:suppressLineNumbers w:val="0"/>
              <w:autoSpaceDE w:val="0"/>
              <w:autoSpaceDN/>
              <w:spacing w:before="0" w:beforeAutospacing="0" w:after="0" w:afterAutospacing="0" w:line="500" w:lineRule="exact"/>
              <w:ind w:left="0" w:leftChars="0" w:right="0" w:rightChars="0"/>
              <w:jc w:val="center"/>
              <w:textAlignment w:val="center"/>
              <w:rPr>
                <w:rFonts w:hint="eastAsia" w:ascii="宋体" w:hAnsi="宋体" w:cs="宋体"/>
                <w:i w:val="0"/>
                <w:iCs w:val="0"/>
                <w:color w:val="000000" w:themeColor="text1"/>
                <w:kern w:val="0"/>
                <w:sz w:val="24"/>
                <w:szCs w:val="24"/>
                <w:highlight w:val="none"/>
                <w:lang w:val="en-US" w:eastAsia="zh-CN"/>
                <w14:textFill>
                  <w14:solidFill>
                    <w14:schemeClr w14:val="tx1"/>
                  </w14:solidFill>
                </w14:textFill>
              </w:rPr>
            </w:pPr>
            <w:r>
              <w:rPr>
                <w:rFonts w:hint="eastAsia" w:ascii="宋体" w:hAnsi="宋体" w:cs="宋体"/>
                <w:i w:val="0"/>
                <w:iCs w:val="0"/>
                <w:color w:val="000000" w:themeColor="text1"/>
                <w:kern w:val="0"/>
                <w:sz w:val="24"/>
                <w:szCs w:val="24"/>
                <w:highlight w:val="none"/>
                <w:lang w:val="en-US" w:eastAsia="zh-CN"/>
                <w14:textFill>
                  <w14:solidFill>
                    <w14:schemeClr w14:val="tx1"/>
                  </w14:solidFill>
                </w14:textFill>
              </w:rPr>
              <w:t>10</w:t>
            </w:r>
          </w:p>
        </w:tc>
        <w:tc>
          <w:tcPr>
            <w:tcW w:w="5389" w:type="dxa"/>
            <w:vAlign w:val="center"/>
          </w:tcPr>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包含法律咨询、法律查明、文书草拟等事务性工作响应时效，项目周报/工作对接机制、发生人员更换时替补保障措施。方案完整可行得10分，缺项酌情扣分，未提供不得分。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7" w:hRule="atLeast"/>
          <w:jc w:val="center"/>
        </w:trPr>
        <w:tc>
          <w:tcPr>
            <w:tcW w:w="1368" w:type="dxa"/>
            <w:vMerge w:val="continue"/>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themeColor="text1"/>
                <w:spacing w:val="-6"/>
                <w:sz w:val="24"/>
                <w:szCs w:val="24"/>
                <w:highlight w:val="none"/>
                <w14:textFill>
                  <w14:solidFill>
                    <w14:schemeClr w14:val="tx1"/>
                  </w14:solidFill>
                </w14:textFill>
              </w:rPr>
            </w:pPr>
          </w:p>
        </w:tc>
        <w:tc>
          <w:tcPr>
            <w:tcW w:w="1427" w:type="dxa"/>
            <w:tcBorders>
              <w:top w:val="single" w:color="auto" w:sz="4" w:space="0"/>
            </w:tcBorders>
            <w:vAlign w:val="center"/>
          </w:tcPr>
          <w:p>
            <w:pPr>
              <w:keepNext w:val="0"/>
              <w:keepLines w:val="0"/>
              <w:widowControl/>
              <w:suppressLineNumbers w:val="0"/>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风险防范及保密管理方案</w:t>
            </w:r>
          </w:p>
        </w:tc>
        <w:tc>
          <w:tcPr>
            <w:tcW w:w="709" w:type="dxa"/>
            <w:tcBorders>
              <w:bottom w:val="single" w:color="auto" w:sz="4" w:space="0"/>
            </w:tcBorders>
            <w:vAlign w:val="center"/>
          </w:tcPr>
          <w:p>
            <w:pPr>
              <w:keepNext w:val="0"/>
              <w:keepLines w:val="0"/>
              <w:widowControl/>
              <w:suppressLineNumbers w:val="0"/>
              <w:autoSpaceDE w:val="0"/>
              <w:autoSpaceDN/>
              <w:spacing w:before="0" w:beforeAutospacing="0" w:after="0" w:afterAutospacing="0" w:line="500" w:lineRule="exact"/>
              <w:ind w:left="0" w:leftChars="0" w:right="0" w:rightChars="0"/>
              <w:jc w:val="center"/>
              <w:textAlignment w:val="center"/>
              <w:rPr>
                <w:rFonts w:hint="default" w:ascii="宋体" w:hAnsi="宋体" w:eastAsia="宋体" w:cs="宋体"/>
                <w:i w:val="0"/>
                <w:iCs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4"/>
                <w:szCs w:val="24"/>
                <w:highlight w:val="none"/>
                <w:lang w:val="en-US" w:eastAsia="zh-CN"/>
                <w14:textFill>
                  <w14:solidFill>
                    <w14:schemeClr w14:val="tx1"/>
                  </w14:solidFill>
                </w14:textFill>
              </w:rPr>
              <w:t>5</w:t>
            </w:r>
          </w:p>
        </w:tc>
        <w:tc>
          <w:tcPr>
            <w:tcW w:w="5389"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制定办案过程保密管理、行政复议及应诉工作风险识别、风险处置预案；包含文书、案卷材料保密、人员保密责任。方案完备得5分；方案一般得2-4分；内容简陋0-1分；未提供不得分。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795"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合计</w:t>
            </w:r>
          </w:p>
        </w:tc>
        <w:tc>
          <w:tcPr>
            <w:tcW w:w="709" w:type="dxa"/>
            <w:vAlign w:val="center"/>
          </w:tcPr>
          <w:p>
            <w:pPr>
              <w:keepNext w:val="0"/>
              <w:keepLines w:val="0"/>
              <w:suppressLineNumbers w:val="0"/>
              <w:snapToGrid w:val="0"/>
              <w:spacing w:before="0" w:beforeAutospacing="0" w:after="0" w:afterAutospacing="0"/>
              <w:ind w:left="0" w:right="0"/>
              <w:jc w:val="center"/>
              <w:rPr>
                <w:rFonts w:hint="default"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fldChar w:fldCharType="begin"/>
            </w:r>
            <w:r>
              <w:rPr>
                <w:rFonts w:hint="eastAsia" w:ascii="宋体" w:hAnsi="宋体" w:cs="宋体"/>
                <w:color w:val="000000" w:themeColor="text1"/>
                <w:sz w:val="24"/>
                <w:szCs w:val="24"/>
                <w:highlight w:val="none"/>
                <w14:textFill>
                  <w14:solidFill>
                    <w14:schemeClr w14:val="tx1"/>
                  </w14:solidFill>
                </w14:textFill>
              </w:rPr>
              <w:instrText xml:space="preserve"> =SUM(ABOVE) </w:instrText>
            </w:r>
            <w:r>
              <w:rPr>
                <w:rFonts w:hint="eastAsia" w:ascii="宋体" w:hAnsi="宋体" w:cs="宋体"/>
                <w:color w:val="000000" w:themeColor="text1"/>
                <w:sz w:val="24"/>
                <w:szCs w:val="24"/>
                <w:highlight w:val="none"/>
                <w14:textFill>
                  <w14:solidFill>
                    <w14:schemeClr w14:val="tx1"/>
                  </w14:solidFill>
                </w14:textFill>
              </w:rPr>
              <w:fldChar w:fldCharType="separate"/>
            </w:r>
            <w:r>
              <w:rPr>
                <w:rFonts w:hint="eastAsia" w:ascii="宋体" w:hAnsi="宋体" w:cs="宋体"/>
                <w:color w:val="000000" w:themeColor="text1"/>
                <w:sz w:val="24"/>
                <w:szCs w:val="24"/>
                <w:highlight w:val="none"/>
                <w14:textFill>
                  <w14:solidFill>
                    <w14:schemeClr w14:val="tx1"/>
                  </w14:solidFill>
                </w14:textFill>
              </w:rPr>
              <w:t>100</w:t>
            </w:r>
            <w:r>
              <w:rPr>
                <w:rFonts w:hint="eastAsia" w:ascii="宋体" w:hAnsi="宋体" w:cs="宋体"/>
                <w:color w:val="000000" w:themeColor="text1"/>
                <w:sz w:val="24"/>
                <w:szCs w:val="24"/>
                <w:highlight w:val="none"/>
                <w14:textFill>
                  <w14:solidFill>
                    <w14:schemeClr w14:val="tx1"/>
                  </w14:solidFill>
                </w14:textFill>
              </w:rPr>
              <w:fldChar w:fldCharType="end"/>
            </w:r>
          </w:p>
        </w:tc>
        <w:tc>
          <w:tcPr>
            <w:tcW w:w="5389"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s="宋体"/>
                <w:color w:val="000000" w:themeColor="text1"/>
                <w:sz w:val="24"/>
                <w:szCs w:val="24"/>
                <w:highlight w:val="none"/>
                <w14:textFill>
                  <w14:solidFill>
                    <w14:schemeClr w14:val="tx1"/>
                  </w14:solidFill>
                </w14:textFill>
              </w:rPr>
            </w:pPr>
          </w:p>
        </w:tc>
      </w:tr>
    </w:tbl>
    <w:p>
      <w:pPr>
        <w:pStyle w:val="3"/>
      </w:pPr>
      <w:r>
        <w:t>评审备注</w:t>
      </w:r>
      <w:bookmarkEnd w:id="0"/>
    </w:p>
    <w:p>
      <w:pPr>
        <w:pStyle w:val="11"/>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618"/>
        <w:textAlignment w:val="auto"/>
        <w:rPr>
          <w:rFonts w:ascii="Times New Roman" w:hAnsi="Times New Roman" w:eastAsia="方正仿宋_GB2312" w:cs="方正仿宋_GB2312"/>
          <w:b w:val="0"/>
          <w:color w:val="3370FF"/>
          <w:sz w:val="32"/>
          <w:szCs w:val="32"/>
        </w:rPr>
      </w:pPr>
      <w:r>
        <w:rPr>
          <w:rFonts w:hint="eastAsia" w:cs="方正仿宋_GB2312"/>
          <w:sz w:val="32"/>
          <w:szCs w:val="32"/>
          <w:lang w:eastAsia="zh-CN"/>
        </w:rPr>
        <w:t>1.</w:t>
      </w:r>
      <w:r>
        <w:rPr>
          <w:rFonts w:ascii="Times New Roman" w:hAnsi="Times New Roman" w:eastAsia="方正仿宋_GB2312" w:cs="方正仿宋_GB2312"/>
          <w:sz w:val="32"/>
          <w:szCs w:val="32"/>
        </w:rPr>
        <w:t>投标人须首先满足招标文件规定的全部资格要求，方可进入评分环节；</w:t>
      </w:r>
    </w:p>
    <w:p>
      <w:pPr>
        <w:pStyle w:val="11"/>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618"/>
        <w:textAlignment w:val="auto"/>
        <w:rPr>
          <w:rFonts w:ascii="Times New Roman" w:hAnsi="Times New Roman" w:eastAsia="方正仿宋_GB2312" w:cs="方正仿宋_GB2312"/>
          <w:b w:val="0"/>
          <w:color w:val="3370FF"/>
          <w:sz w:val="32"/>
          <w:szCs w:val="32"/>
        </w:rPr>
      </w:pPr>
      <w:r>
        <w:rPr>
          <w:rFonts w:hint="eastAsia" w:cs="方正仿宋_GB2312"/>
          <w:sz w:val="32"/>
          <w:szCs w:val="32"/>
          <w:lang w:eastAsia="zh-CN"/>
        </w:rPr>
        <w:t>2.</w:t>
      </w:r>
      <w:r>
        <w:rPr>
          <w:rFonts w:ascii="Times New Roman" w:hAnsi="Times New Roman" w:eastAsia="方正仿宋_GB2312" w:cs="方正仿宋_GB2312"/>
          <w:sz w:val="32"/>
          <w:szCs w:val="32"/>
        </w:rPr>
        <w:t>所有评分项的证明材料须按要求完整提供，未提供有效证明材料的，对应评分项计0分；</w:t>
      </w:r>
    </w:p>
    <w:p>
      <w:pPr>
        <w:pStyle w:val="11"/>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618"/>
        <w:textAlignment w:val="auto"/>
        <w:rPr>
          <w:rFonts w:hint="eastAsia" w:cs="方正仿宋_GB2312"/>
          <w:sz w:val="32"/>
          <w:szCs w:val="32"/>
          <w:lang w:eastAsia="zh-CN"/>
        </w:rPr>
      </w:pPr>
      <w:r>
        <w:rPr>
          <w:rFonts w:hint="eastAsia" w:cs="方正仿宋_GB2312"/>
          <w:sz w:val="32"/>
          <w:szCs w:val="32"/>
          <w:lang w:eastAsia="zh-CN"/>
        </w:rPr>
        <w:t>3.本项目优先考察专业能力，报价仅作符合性审查，不纳入量化评分；</w:t>
      </w:r>
    </w:p>
    <w:p>
      <w:pPr>
        <w:pStyle w:val="11"/>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618"/>
        <w:textAlignment w:val="auto"/>
      </w:pPr>
      <w:r>
        <w:rPr>
          <w:rFonts w:hint="eastAsia" w:cs="方正仿宋_GB2312"/>
          <w:sz w:val="32"/>
          <w:szCs w:val="32"/>
          <w:lang w:val="en-US" w:eastAsia="zh-CN"/>
        </w:rPr>
        <w:t>4.</w:t>
      </w:r>
      <w:r>
        <w:rPr>
          <w:rFonts w:ascii="Times New Roman" w:hAnsi="Times New Roman" w:eastAsia="方正仿宋_GB2312" w:cs="方正仿宋_GB2312"/>
          <w:sz w:val="32"/>
          <w:szCs w:val="32"/>
        </w:rPr>
        <w:t>本评分表未尽事宜，由评审小组按照招标文件相关规定执行，评审小组拥有最终评审决定权。</w:t>
      </w:r>
    </w:p>
    <w:sectPr>
      <w:headerReference r:id="rId3" w:type="default"/>
      <w:footerReference r:id="rId5" w:type="default"/>
      <w:headerReference r:id="rId4" w:type="even"/>
      <w:footerReference r:id="rId6" w:type="even"/>
      <w:pgSz w:w="11905" w:h="16840"/>
      <w:pgMar w:top="2098" w:right="1474" w:bottom="1984" w:left="1587" w:header="851" w:footer="1417"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1" w:fontKey="{A1E109ED-2AA9-4017-BA3E-1AA4619303D4}"/>
  </w:font>
  <w:font w:name="楷体_GB2312">
    <w:altName w:val="楷体"/>
    <w:panose1 w:val="02010609030101010101"/>
    <w:charset w:val="86"/>
    <w:family w:val="auto"/>
    <w:pitch w:val="default"/>
    <w:sig w:usb0="00000000" w:usb1="00000000" w:usb2="00000000" w:usb3="00000000" w:csb0="00040000" w:csb1="00000000"/>
  </w:font>
  <w:font w:name="方正楷体_GB2312">
    <w:altName w:val="楷体"/>
    <w:panose1 w:val="02000000000000000000"/>
    <w:charset w:val="86"/>
    <w:family w:val="auto"/>
    <w:pitch w:val="default"/>
    <w:sig w:usb0="00000000" w:usb1="00000000" w:usb2="00000012" w:usb3="00000000" w:csb0="00040001" w:csb1="00000000"/>
  </w:font>
  <w:font w:name="方正仿宋_GB2312">
    <w:altName w:val="仿宋"/>
    <w:panose1 w:val="02000000000000000000"/>
    <w:charset w:val="86"/>
    <w:family w:val="auto"/>
    <w:pitch w:val="default"/>
    <w:sig w:usb0="00000000" w:usb1="00000000" w:usb2="00000012" w:usb3="00000000" w:csb0="00040001" w:csb1="00000000"/>
    <w:embedRegular r:id="rId2" w:fontKey="{5EB9EA24-8B55-4110-ABA6-849C63D93214}"/>
  </w:font>
  <w:font w:name="DejaVu Sans">
    <w:altName w:val="Segoe Print"/>
    <w:panose1 w:val="020B0603030804020204"/>
    <w:charset w:val="00"/>
    <w:family w:val="auto"/>
    <w:pitch w:val="default"/>
    <w:sig w:usb0="00000000" w:usb1="00000000" w:usb2="0A246029" w:usb3="0400200C" w:csb0="600001FF" w:csb1="DFFF0000"/>
  </w:font>
  <w:font w:name="方正仿宋_GBK">
    <w:altName w:val="微软雅黑"/>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DEvjmXRAAAABgEAAA8AAAAAAAAAAQAgAAAAIgAAAGRycy9k&#10;b3ducmV2LnhtbFBLAQIUABQAAAAIAIdO4kAswpO+0AEAAIMDAAAOAAAAAAAAAAEAIAAAACABAABk&#10;cnMvZTJvRG9jLnhtbFBLBQYAAAAABgAGAFkBAABiBQAAAAA=&#10;">
              <v:fill on="f" focussize="0,0"/>
              <v:stroke on="f"/>
              <v:imagedata o:title=""/>
              <o:lock v:ext="edit" aspectratio="f"/>
              <v:textbox inset="16pt,0mm,16pt,0mm" style="mso-fit-shape-to-text:t;">
                <w:txbxContent>
                  <w:p>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MS+OZdEAAAAGAQAADwAAAAAAAAABACAAAAAiAAAAZHJz&#10;L2Rvd25yZXYueG1sUEsBAhQAFAAAAAgAh07iQFo18ovSAQAAgwMAAA4AAAAAAAAAAQAgAAAAIAEA&#10;AGRycy9lMm9Eb2MueG1sUEsFBgAAAAAGAAYAWQEAAGQFAAAAAA==&#10;">
              <v:fill on="f" focussize="0,0"/>
              <v:stroke on="f"/>
              <v:imagedata o:title=""/>
              <o:lock v:ext="edit" aspectratio="f"/>
              <v:textbox inset="16pt,0mm,16pt,0mm" style="mso-fit-shape-to-text:t;">
                <w:txbxContent>
                  <w:p>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evenAndOddHeaders w:val="1"/>
  <w:displayHorizontalDrawingGridEvery w:val="1"/>
  <w:displayVerticalDrawingGridEvery w:val="1"/>
  <w:noPunctuationKerning w:val="1"/>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443E5"/>
    <w:rsid w:val="0CFD1B73"/>
    <w:rsid w:val="10DD77C5"/>
    <w:rsid w:val="127708DE"/>
    <w:rsid w:val="17D91B6F"/>
    <w:rsid w:val="1DDB2C61"/>
    <w:rsid w:val="27F531EF"/>
    <w:rsid w:val="29C36336"/>
    <w:rsid w:val="362D4B96"/>
    <w:rsid w:val="37EF7C5B"/>
    <w:rsid w:val="3B2B0AA2"/>
    <w:rsid w:val="3E790897"/>
    <w:rsid w:val="4858534D"/>
    <w:rsid w:val="4EF6CF73"/>
    <w:rsid w:val="5F492BCD"/>
    <w:rsid w:val="5F795229"/>
    <w:rsid w:val="633F896A"/>
    <w:rsid w:val="6CD06CF5"/>
    <w:rsid w:val="6D411D30"/>
    <w:rsid w:val="73B76B77"/>
    <w:rsid w:val="753F9280"/>
    <w:rsid w:val="758075D4"/>
    <w:rsid w:val="799D7E56"/>
    <w:rsid w:val="7CC75FA2"/>
    <w:rsid w:val="7DBFB11B"/>
    <w:rsid w:val="7DEF9E81"/>
    <w:rsid w:val="7FF9C56F"/>
    <w:rsid w:val="A7DD7298"/>
    <w:rsid w:val="EF9F48C9"/>
    <w:rsid w:val="FF7FBDB3"/>
    <w:rsid w:val="FFF3633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rPr>
  </w:style>
  <w:style w:type="paragraph" w:styleId="3">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2">
    <w:name w:val="heading 2"/>
    <w:basedOn w:val="1"/>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方正楷体_GB2312" w:cs="方正楷体_GB2312"/>
      <w:sz w:val="32"/>
      <w:szCs w:val="32"/>
    </w:rPr>
  </w:style>
  <w:style w:type="paragraph" w:styleId="4">
    <w:name w:val="heading 3"/>
    <w:next w:val="1"/>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方正仿宋_GB2312" w:cs="方正仿宋_GB2312"/>
      <w:sz w:val="32"/>
      <w:szCs w:val="32"/>
    </w:rPr>
  </w:style>
  <w:style w:type="paragraph" w:styleId="5">
    <w:name w:val="heading 4"/>
    <w:next w:val="1"/>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方正仿宋_GB2312" w:cs="方正仿宋_GB2312"/>
      <w:sz w:val="32"/>
      <w:szCs w:val="32"/>
    </w:rPr>
  </w:style>
  <w:style w:type="paragraph" w:styleId="6">
    <w:name w:val="heading 5"/>
    <w:next w:val="1"/>
    <w:unhideWhenUsed/>
    <w:qFormat/>
    <w:uiPriority w:val="0"/>
    <w:pPr>
      <w:spacing w:line="560" w:lineRule="exact"/>
      <w:ind w:firstLine="894" w:firstLineChars="200"/>
      <w:outlineLvl w:val="4"/>
    </w:pPr>
    <w:rPr>
      <w:rFonts w:ascii="Times New Roman" w:hAnsi="Times New Roman" w:eastAsia="方正仿宋_GB2312" w:cs="方正仿宋_GB2312"/>
      <w:sz w:val="32"/>
      <w:szCs w:val="32"/>
    </w:rPr>
  </w:style>
  <w:style w:type="paragraph" w:styleId="7">
    <w:name w:val="heading 6"/>
    <w:next w:val="1"/>
    <w:unhideWhenUsed/>
    <w:qFormat/>
    <w:uiPriority w:val="0"/>
    <w:pPr>
      <w:spacing w:line="560" w:lineRule="exact"/>
      <w:ind w:firstLine="894" w:firstLineChars="200"/>
      <w:outlineLvl w:val="5"/>
    </w:pPr>
    <w:rPr>
      <w:rFonts w:ascii="Times New Roman" w:hAnsi="Times New Roman" w:eastAsia="方正仿宋_GB2312" w:cs="方正仿宋_GB2312"/>
      <w:sz w:val="32"/>
      <w:szCs w:val="32"/>
    </w:rPr>
  </w:style>
  <w:style w:type="paragraph" w:styleId="8">
    <w:name w:val="heading 7"/>
    <w:next w:val="1"/>
    <w:unhideWhenUsed/>
    <w:qFormat/>
    <w:uiPriority w:val="0"/>
    <w:pPr>
      <w:spacing w:line="560" w:lineRule="exact"/>
      <w:ind w:firstLine="894" w:firstLineChars="200"/>
      <w:outlineLvl w:val="6"/>
    </w:pPr>
    <w:rPr>
      <w:rFonts w:ascii="Times New Roman" w:hAnsi="Times New Roman" w:eastAsia="方正仿宋_GB2312" w:cs="方正仿宋_GB2312"/>
      <w:sz w:val="32"/>
      <w:szCs w:val="32"/>
    </w:rPr>
  </w:style>
  <w:style w:type="paragraph" w:styleId="9">
    <w:name w:val="heading 8"/>
    <w:next w:val="1"/>
    <w:unhideWhenUsed/>
    <w:qFormat/>
    <w:uiPriority w:val="0"/>
    <w:pPr>
      <w:spacing w:line="560" w:lineRule="exact"/>
      <w:ind w:firstLine="894" w:firstLineChars="200"/>
      <w:outlineLvl w:val="7"/>
    </w:pPr>
    <w:rPr>
      <w:rFonts w:ascii="Times New Roman" w:hAnsi="Times New Roman" w:eastAsia="方正仿宋_GB2312" w:cs="方正仿宋_GB2312"/>
      <w:sz w:val="32"/>
      <w:szCs w:val="32"/>
    </w:rPr>
  </w:style>
  <w:style w:type="paragraph" w:styleId="10">
    <w:name w:val="heading 9"/>
    <w:next w:val="1"/>
    <w:unhideWhenUsed/>
    <w:qFormat/>
    <w:uiPriority w:val="0"/>
    <w:pPr>
      <w:spacing w:line="560" w:lineRule="exact"/>
      <w:ind w:firstLine="894" w:firstLineChars="200"/>
      <w:outlineLvl w:val="8"/>
    </w:pPr>
    <w:rPr>
      <w:rFonts w:ascii="Times New Roman" w:hAnsi="Times New Roman" w:eastAsia="方正仿宋_GB2312" w:cs="方正仿宋_GB2312"/>
      <w:sz w:val="32"/>
      <w:szCs w:val="32"/>
    </w:rPr>
  </w:style>
  <w:style w:type="character" w:default="1" w:styleId="16">
    <w:name w:val="Default Paragraph Font"/>
    <w:semiHidden/>
    <w:qFormat/>
    <w:uiPriority w:val="0"/>
  </w:style>
  <w:style w:type="table" w:default="1" w:styleId="18">
    <w:name w:val="Normal Table"/>
    <w:semiHidden/>
    <w:qFormat/>
    <w:uiPriority w:val="0"/>
    <w:tblPr>
      <w:tblLayout w:type="fixed"/>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方正仿宋_GB2312" w:cs="方正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方正仿宋_GB2312" w:cs="方正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styleId="17">
    <w:name w:val="Strong"/>
    <w:basedOn w:val="1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1335</Words>
  <Characters>1377</Characters>
  <TotalTime>310</TotalTime>
  <ScaleCrop>false</ScaleCrop>
  <LinksUpToDate>false</LinksUpToDate>
  <CharactersWithSpaces>1415</CharactersWithSpaces>
  <Application>WPS Office_10.8.0.6423_F1E327BC-269C-435d-A152-05C5408002CA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2026-03-14T21:04:00Z</dcterms:created>
  <dc:creator>Apache POI</dc:creator>
  <cp:lastModifiedBy>502</cp:lastModifiedBy>
  <cp:lastPrinted>2026-10-08T10:32:00Z</cp:lastPrinted>
  <dcterms:modified xsi:type="dcterms:W3CDTF">2026-10-09T01:02:11Z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eyJoZGlkIjoiOTgwOTMxYzEwOWRhMmM0YjE5MTY4MjZkZTJkNTA3MjgiLCJ1c2VySWQiOiI1NjI0MTM3MzkifQ==</vt:lpwstr>
  </property>
  <property fmtid="{D5CDD505-2E9C-101B-9397-08002B2CF9AE}" pid="3" name="KSOProductBuildVer">
    <vt:lpwstr>2052-10.8.0.6423</vt:lpwstr>
  </property>
  <property fmtid="{D5CDD505-2E9C-101B-9397-08002B2CF9AE}" pid="4" name="ICV">
    <vt:lpwstr>CA1019A8480640DFB32088F98EF8EF45_13</vt:lpwstr>
  </property>
</Properties>
</file>