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</w:pPr>
      <w:r>
        <w:rPr>
          <w:rFonts w:hint="eastAsia"/>
        </w:rPr>
        <w:t>柳州市法治政府建设高质量发展咨询服务项目评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分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表</w:t>
      </w:r>
    </w:p>
    <w:p>
      <w:pPr>
        <w:pStyle w:val="15"/>
      </w:pPr>
      <w:bookmarkStart w:id="1" w:name="_GoBack"/>
      <w:bookmarkEnd w:id="1"/>
    </w:p>
    <w:tbl>
      <w:tblPr>
        <w:tblStyle w:val="18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709"/>
        <w:gridCol w:w="5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pacing w:val="-6"/>
                <w:szCs w:val="21"/>
              </w:rPr>
            </w:pPr>
            <w:bookmarkStart w:id="0" w:name="heading_0"/>
            <w:r>
              <w:rPr>
                <w:rFonts w:hint="eastAsia" w:ascii="宋体" w:hAnsi="宋体"/>
                <w:b/>
                <w:spacing w:val="-6"/>
                <w:szCs w:val="21"/>
              </w:rPr>
              <w:t>评标项目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评标分项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分值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子项目及分值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价格部分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pacing w:val="-6"/>
                <w:szCs w:val="21"/>
              </w:rPr>
              <w:t>分）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比选报价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81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价格评分的计算方法如下：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1.满足比选文件要求且最低的报价为比选基准价（D），其价格分为满分；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2.其他合格供应商的比选报价得分按如下公式计算：比选报价得分=（比选基准价D/最后比选报价V）×价格权值×100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价格权值=10 %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商务部分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pacing w:val="-6"/>
                <w:szCs w:val="21"/>
              </w:rPr>
              <w:t>分）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案例业绩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811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供应商每提供一个在提交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文件截止日期三个年度内签署的类似项目合同案例得3分，最高得15分。须提供合同首页、签字盖章页、服务内容页复印件作为证明，加盖投标人公章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-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人员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81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针对本项目的专业服务团队、组织结构合理、岗位职责明确，具有与本项目相适应的各类专业技术人员。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拟派一名项目经理，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法学硕士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学位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高级及以上职称证书，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得基础分3分，具备博士学位加2分。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评分依据：提供学历证书、资格证书并附身份证复印件，加盖投标人公章。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服务团队成员：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团队成员总数不少于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人，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且都是法学专业得基础分3分；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团队成员具备中级及以上职称证书，每提供一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职称证书得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分，本项最高得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分。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评分依据：提供学历证书、资格证书并附身份证复印件，加盖投标人公章。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-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认证证书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11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1.具备ISO9000质量管理体系认证证书、ISO14001环境管理体系认证证书、ISO45001职业健康安全管理体系认证证书，每提供一项得1分，最高得3分；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2.具备ISO27001信息安全管理体系认证证书、ISO20000服务管理体系认证证书，每提供一项得1分，最高得2分。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（均须提供有效证书复印件并加盖公章）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技术部分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60分</w:t>
            </w:r>
            <w:r>
              <w:rPr>
                <w:rFonts w:hint="eastAsia" w:ascii="宋体" w:hAnsi="宋体"/>
                <w:spacing w:val="-6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整体服务方案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针对本项目的整体服务方案进行综合评估打分：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（1）方案描述详细清晰、逻辑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关系合理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，完全匹配招标全部需求，得1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（2）方案描述基本详细清晰、逻辑关系基本合理，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满足主要要求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（3）方案描述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、逻辑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，满足招标主要需求得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）方案描述不够详细清晰、逻辑关系不够合理，部分需求未响应得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）方案严重残缺，未响应核心招标需求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案卷评查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 w:firstLine="21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针对本项目的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案卷评查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服务方案进行综合评估打分：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（1）方案描述详细清晰、逻辑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关系合理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，完全匹配招标全部需求，得1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（2）方案描述基本详细清晰、逻辑关系基本合理，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满足主要要求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（3）方案描述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、逻辑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，满足招标主要需求得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）方案描述不够详细清晰、逻辑关系不够合理，部分需求未响应得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）方案严重残缺，未响应核心招标需求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得2分；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法治能力知识测评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针对本项目的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法治能力知识测评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服务方案进行综合评估打分：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（1）方案描述详细清晰、逻辑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关系合理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，完全匹配招标全部需求，得1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（2）方案描述基本详细清晰、逻辑关系基本合理，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满足主要要求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（3）方案描述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、逻辑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，满足招标主要需求得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）方案描述不够详细清晰、逻辑关系不够合理，部分需求未响应得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）方案严重残缺，未响应核心招标需求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得2分；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实地评估演练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针对本项目的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实地评估演练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服务方案进行综合评估打分：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（1）方案描述详细清晰、逻辑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关系合理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，完全匹配招标全部需求，得1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（2）方案描述基本详细清晰、逻辑关系基本合理，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满足主要要求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（3）方案描述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、逻辑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，满足招标主要需求得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）方案描述不够详细清晰、逻辑关系不够合理，部分需求未响应得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）方案严重残缺，未响应核心招标需求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得2分；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-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法治政府建设综合培训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针对本项目的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法治政府建设综合培训服务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方案进行综合评估打分：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（1）方案描述详细清晰、逻辑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关系合理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，完全匹配招标全部需求，得1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（2）方案描述基本详细清晰、逻辑关系基本合理，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满足主要要求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（3）方案描述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、逻辑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，满足招标主要需求得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）方案描述不够详细清晰、逻辑关系不够合理，部分需求未响应得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）方案严重残缺，未响应核心招标需求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得2分；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-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服务实施计划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针对本项目的服务实施计划，从实施计划、实施管理等方面进行综合评估打分：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（1）方案描述详细清晰、逻辑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关系合理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，完全匹配招标全部需求，得1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（2）方案描述基本详细清晰、逻辑关系基本合理，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满足主要要求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（3）方案描述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、逻辑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，满足招标主要需求得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）方案描述不够详细清晰、逻辑关系不够合理，部分需求未响应得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）方案严重残缺，未响应核心招标需求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得2分；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=SUM(ABOVE)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100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581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</w:tc>
      </w:tr>
    </w:tbl>
    <w:p>
      <w:pPr>
        <w:pStyle w:val="3"/>
        <w:ind w:left="0" w:leftChars="0" w:firstLine="0" w:firstLineChars="0"/>
      </w:pPr>
    </w:p>
    <w:p>
      <w:pPr>
        <w:pStyle w:val="3"/>
      </w:pPr>
      <w:r>
        <w:t>评审备注</w:t>
      </w:r>
      <w:bookmarkEnd w:id="0"/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方正仿宋_GB2312" w:cs="方正仿宋_GB2312"/>
          <w:b w:val="0"/>
          <w:color w:val="3370FF"/>
          <w:sz w:val="32"/>
          <w:szCs w:val="32"/>
        </w:rPr>
      </w:pPr>
      <w:r>
        <w:rPr>
          <w:rFonts w:hint="eastAsia" w:cs="方正仿宋_GB2312"/>
          <w:sz w:val="32"/>
          <w:szCs w:val="32"/>
          <w:lang w:eastAsia="zh-CN"/>
        </w:rPr>
        <w:t>1.</w:t>
      </w:r>
      <w:r>
        <w:rPr>
          <w:rFonts w:ascii="Times New Roman" w:hAnsi="Times New Roman" w:eastAsia="方正仿宋_GB2312" w:cs="方正仿宋_GB2312"/>
          <w:sz w:val="32"/>
          <w:szCs w:val="32"/>
        </w:rPr>
        <w:t>投标人须首先满足招标文件规定的全部资格要求，方可进入评分环节；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方正仿宋_GB2312" w:cs="方正仿宋_GB2312"/>
          <w:b w:val="0"/>
          <w:color w:val="3370FF"/>
          <w:sz w:val="32"/>
          <w:szCs w:val="32"/>
        </w:rPr>
      </w:pPr>
      <w:r>
        <w:rPr>
          <w:rFonts w:hint="eastAsia" w:cs="方正仿宋_GB2312"/>
          <w:sz w:val="32"/>
          <w:szCs w:val="32"/>
          <w:lang w:eastAsia="zh-CN"/>
        </w:rPr>
        <w:t>2.</w:t>
      </w:r>
      <w:r>
        <w:rPr>
          <w:rFonts w:ascii="Times New Roman" w:hAnsi="Times New Roman" w:eastAsia="方正仿宋_GB2312" w:cs="方正仿宋_GB2312"/>
          <w:sz w:val="32"/>
          <w:szCs w:val="32"/>
        </w:rPr>
        <w:t>所有评分项的证明材料须按要求完整提供，未提供有效证明材料的，对应评分项计0分；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</w:pPr>
      <w:r>
        <w:rPr>
          <w:rFonts w:hint="eastAsia" w:cs="方正仿宋_GB2312"/>
          <w:sz w:val="32"/>
          <w:szCs w:val="32"/>
          <w:lang w:eastAsia="zh-CN"/>
        </w:rPr>
        <w:t>3.</w:t>
      </w:r>
      <w:r>
        <w:rPr>
          <w:rFonts w:ascii="Times New Roman" w:hAnsi="Times New Roman" w:eastAsia="方正仿宋_GB2312" w:cs="方正仿宋_GB2312"/>
          <w:sz w:val="32"/>
          <w:szCs w:val="32"/>
        </w:rPr>
        <w:t>本评分表未尽事宜，由评审小组按照招标文件相关规定执行，评审小组拥有最终评审决定权。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28" w:left="1587" w:header="851" w:footer="1417" w:gutter="0"/>
      <w:paperSrc/>
      <w:pgNumType w:fmt="decimal"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ACD4ABC8-0942-4ADB-88F4-897E72F65E9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EvjmXRAAAABgEAAA8AAAAAAAAAAQAgAAAAIgAAAGRycy9k&#10;b3ducmV2LnhtbFBLAQIUABQAAAAIAIdO4kAswpO+0AEAAIM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S+OZdEAAAAGAQAADwAAAAAAAAABACAAAAAiAAAAZHJz&#10;L2Rvd25yZXYueG1sUEsBAhQAFAAAAAgAh07iQFo18ovSAQAAgw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D77C5"/>
    <w:rsid w:val="17D91B6F"/>
    <w:rsid w:val="27F531EF"/>
    <w:rsid w:val="29C36336"/>
    <w:rsid w:val="37EF7C5B"/>
    <w:rsid w:val="3B2B0AA2"/>
    <w:rsid w:val="3E790897"/>
    <w:rsid w:val="4858534D"/>
    <w:rsid w:val="5F492BCD"/>
    <w:rsid w:val="5F795229"/>
    <w:rsid w:val="6CD06CF5"/>
    <w:rsid w:val="6D411D30"/>
    <w:rsid w:val="73B76B77"/>
    <w:rsid w:val="758075D4"/>
    <w:rsid w:val="76F558BC"/>
    <w:rsid w:val="7CC75FA2"/>
    <w:rsid w:val="7DD74D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方正楷体_GB2312" w:cs="方正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方正仿宋_GB2312" w:cs="方正仿宋_GB2312"/>
      <w:sz w:val="32"/>
      <w:szCs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方正仿宋_GB2312" w:cs="方正仿宋_GB2312"/>
      <w:sz w:val="32"/>
      <w:szCs w:val="32"/>
    </w:rPr>
  </w:style>
  <w:style w:type="paragraph" w:styleId="6">
    <w:name w:val="heading 5"/>
    <w:next w:val="1"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方正仿宋_GB2312" w:cs="方正仿宋_GB2312"/>
      <w:sz w:val="32"/>
      <w:szCs w:val="32"/>
    </w:rPr>
  </w:style>
  <w:style w:type="paragraph" w:styleId="7">
    <w:name w:val="heading 6"/>
    <w:next w:val="1"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方正仿宋_GB2312" w:cs="方正仿宋_GB2312"/>
      <w:sz w:val="32"/>
      <w:szCs w:val="32"/>
    </w:rPr>
  </w:style>
  <w:style w:type="paragraph" w:styleId="8">
    <w:name w:val="heading 7"/>
    <w:next w:val="1"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方正仿宋_GB2312" w:cs="方正仿宋_GB2312"/>
      <w:sz w:val="32"/>
      <w:szCs w:val="32"/>
    </w:rPr>
  </w:style>
  <w:style w:type="paragraph" w:styleId="9">
    <w:name w:val="heading 8"/>
    <w:next w:val="1"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方正仿宋_GB2312" w:cs="方正仿宋_GB2312"/>
      <w:sz w:val="32"/>
      <w:szCs w:val="32"/>
    </w:rPr>
  </w:style>
  <w:style w:type="paragraph" w:styleId="10">
    <w:name w:val="heading 9"/>
    <w:next w:val="1"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方正仿宋_GB2312" w:cs="方正仿宋_GB2312"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方正仿宋_GB2312" w:cs="方正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7">
    <w:name w:val="Strong"/>
    <w:basedOn w:val="1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41ea91d5-7f50-45d6-8c48-71cc221d1a6d</errorID>
      <errorWord>，</errorWord>
      <group>L1_Grammar</group>
      <groupName>语法问题</groupName>
      <ability>L2_Missing</ability>
      <abilityName>成分残缺</abilityName>
      <candidateList>
        <item>的情况，</item>
      </candidateList>
      <explain>句子中可能存在主谓宾、修饰语或者必要的词语残缺。</explain>
      <paraID>5625F14F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96f71a-ef0f-4d3c-8b45-eb77afb47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1947</Words>
  <Characters>2012</Characters>
  <TotalTime>949</TotalTime>
  <ScaleCrop>false</ScaleCrop>
  <LinksUpToDate>false</LinksUpToDate>
  <CharactersWithSpaces>2013</CharactersWithSpaces>
  <Application>WPS Office_10.8.0.6423_F1E327BC-269C-435d-A152-05C5408002CA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2026-03-11T13:04:00Z</dcterms:created>
  <dc:creator>Apache POI</dc:creator>
  <cp:lastModifiedBy>502</cp:lastModifiedBy>
  <cp:lastPrinted>2026-05-20T00:47:00Z</cp:lastPrinted>
  <dcterms:modified xsi:type="dcterms:W3CDTF">2026-05-20T03:06:33Z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eyJoZGlkIjoiZTc4ZTAxNzRkZjczZDQwOTM2ZmUxZmQ3Yzg5ZjE2OWQiLCJ1c2VySWQiOiI4MzI3MTExODcifQ==</vt:lpwstr>
  </property>
  <property fmtid="{D5CDD505-2E9C-101B-9397-08002B2CF9AE}" pid="3" name="KSOProductBuildVer">
    <vt:lpwstr>2052-10.8.0.6423</vt:lpwstr>
  </property>
  <property fmtid="{D5CDD505-2E9C-101B-9397-08002B2CF9AE}" pid="4" name="ICV">
    <vt:lpwstr>DCEE6CF0A9954430A3494975A1AF939F_13</vt:lpwstr>
  </property>
</Properties>
</file>