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jc w:val="center"/>
        <w:rPr>
          <w:sz w:val="44"/>
          <w:szCs w:val="44"/>
        </w:rPr>
      </w:pPr>
      <w:r>
        <w:rPr>
          <w:rFonts w:hint="eastAsia" w:ascii="方正小标宋简体" w:hAnsi="方正小标宋简体" w:eastAsia="方正小标宋简体" w:cs="方正小标宋简体"/>
          <w:kern w:val="0"/>
          <w:sz w:val="44"/>
          <w:szCs w:val="44"/>
          <w:shd w:val="clear" w:color="auto" w:fill="FFFFFF"/>
        </w:rPr>
        <w:t>柳州市交通运输</w:t>
      </w:r>
      <w:r>
        <w:rPr>
          <w:rFonts w:ascii="方正小标宋简体" w:hAnsi="方正小标宋简体" w:eastAsia="方正小标宋简体" w:cs="方正小标宋简体"/>
          <w:kern w:val="0"/>
          <w:sz w:val="44"/>
          <w:szCs w:val="44"/>
          <w:shd w:val="clear" w:color="auto" w:fill="FFFFFF"/>
        </w:rPr>
        <w:t>局</w:t>
      </w:r>
      <w:r>
        <w:rPr>
          <w:rFonts w:hint="eastAsia" w:ascii="方正小标宋简体" w:hAnsi="方正小标宋简体" w:eastAsia="方正小标宋简体" w:cs="方正小标宋简体"/>
          <w:kern w:val="0"/>
          <w:sz w:val="44"/>
          <w:szCs w:val="44"/>
          <w:shd w:val="clear" w:color="auto" w:fill="FFFFFF"/>
        </w:rPr>
        <w:t>企业</w:t>
      </w:r>
      <w:r>
        <w:rPr>
          <w:rFonts w:ascii="方正小标宋简体" w:hAnsi="方正小标宋简体" w:eastAsia="方正小标宋简体" w:cs="方正小标宋简体"/>
          <w:kern w:val="0"/>
          <w:sz w:val="44"/>
          <w:szCs w:val="44"/>
          <w:shd w:val="clear" w:color="auto" w:fill="FFFFFF"/>
        </w:rPr>
        <w:t>行政合规指</w:t>
      </w:r>
      <w:r>
        <w:rPr>
          <w:rFonts w:hint="eastAsia" w:ascii="方正小标宋简体" w:hAnsi="方正小标宋简体" w:eastAsia="方正小标宋简体" w:cs="方正小标宋简体"/>
          <w:kern w:val="0"/>
          <w:sz w:val="44"/>
          <w:szCs w:val="44"/>
          <w:shd w:val="clear" w:color="auto" w:fill="FFFFFF"/>
        </w:rPr>
        <w:t>南</w:t>
      </w:r>
    </w:p>
    <w:tbl>
      <w:tblPr>
        <w:tblStyle w:val="6"/>
        <w:tblW w:w="2073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862"/>
        <w:gridCol w:w="2206"/>
        <w:gridCol w:w="2234"/>
        <w:gridCol w:w="2333"/>
        <w:gridCol w:w="3450"/>
        <w:gridCol w:w="8167"/>
        <w:gridCol w:w="1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Header/>
          <w:jc w:val="center"/>
        </w:trPr>
        <w:tc>
          <w:tcPr>
            <w:tcW w:w="862" w:type="dxa"/>
            <w:tcBorders>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序号</w:t>
            </w:r>
          </w:p>
        </w:tc>
        <w:tc>
          <w:tcPr>
            <w:tcW w:w="2206" w:type="dxa"/>
            <w:tcBorders>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指导部门</w:t>
            </w:r>
          </w:p>
        </w:tc>
        <w:tc>
          <w:tcPr>
            <w:tcW w:w="2234" w:type="dxa"/>
            <w:tcBorders>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合规事项名称</w:t>
            </w:r>
          </w:p>
        </w:tc>
        <w:tc>
          <w:tcPr>
            <w:tcW w:w="2333" w:type="dxa"/>
            <w:tcBorders>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法律依据</w:t>
            </w:r>
          </w:p>
        </w:tc>
        <w:tc>
          <w:tcPr>
            <w:tcW w:w="3450" w:type="dxa"/>
            <w:tcBorders>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合规建议</w:t>
            </w:r>
          </w:p>
        </w:tc>
        <w:tc>
          <w:tcPr>
            <w:tcW w:w="8167" w:type="dxa"/>
            <w:tcBorders>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不合规风险点</w:t>
            </w:r>
          </w:p>
        </w:tc>
        <w:tc>
          <w:tcPr>
            <w:tcW w:w="1485" w:type="dxa"/>
            <w:tcBorders>
              <w:left w:val="nil"/>
              <w:bottom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kern w:val="0"/>
                <w:sz w:val="28"/>
                <w:szCs w:val="28"/>
              </w:rPr>
            </w:pPr>
            <w:r>
              <w:rPr>
                <w:rFonts w:hint="eastAsia" w:ascii="黑体" w:hAnsi="宋体" w:eastAsia="黑体" w:cs="黑体"/>
                <w:kern w:val="0"/>
                <w:sz w:val="28"/>
                <w:szCs w:val="28"/>
              </w:rPr>
              <w:t>发生频率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612" w:hRule="atLeast"/>
          <w:jc w:val="center"/>
        </w:trPr>
        <w:tc>
          <w:tcPr>
            <w:tcW w:w="862" w:type="dxa"/>
            <w:tcBorders>
              <w:top w:val="nil"/>
              <w:bottom w:val="single" w:color="auto" w:sz="8" w:space="0"/>
              <w:right w:val="single" w:color="auto" w:sz="8" w:space="0"/>
            </w:tcBorders>
            <w:tcMar>
              <w:left w:w="108" w:type="dxa"/>
              <w:right w:w="108" w:type="dxa"/>
            </w:tcMar>
            <w:vAlign w:val="center"/>
          </w:tcPr>
          <w:p>
            <w:pPr>
              <w:overflowPunct w:val="0"/>
              <w:autoSpaceDE w:val="0"/>
              <w:autoSpaceDN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2206"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企业不按批准的客运站点停靠或者不按规定的线路、公布的班次行驶</w:t>
            </w:r>
          </w:p>
        </w:tc>
        <w:tc>
          <w:tcPr>
            <w:tcW w:w="2333" w:type="dxa"/>
            <w:tcBorders>
              <w:top w:val="nil"/>
              <w:left w:val="single" w:color="auto" w:sz="4" w:space="0"/>
              <w:bottom w:val="single" w:color="auto" w:sz="8"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《中华人民共和国道路运输条例》《道路旅客运输及客运站管理规定》</w:t>
            </w:r>
            <w:bookmarkStart w:id="0" w:name="_GoBack"/>
            <w:bookmarkEnd w:id="0"/>
          </w:p>
        </w:tc>
        <w:tc>
          <w:tcPr>
            <w:tcW w:w="3450"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企业取得《道路运输经营许可证》后，所经营的客运班车应当按照许可的起讫地、日发班次下限和备案的途经路线运行，在起讫地客运站点和中途停靠地客运站点上下旅客。</w:t>
            </w:r>
          </w:p>
        </w:tc>
        <w:tc>
          <w:tcPr>
            <w:tcW w:w="8167"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1.《中华人民共和国道路运输条例》第六十九条第（一）项  违反本条例的规定，客运经营者、货运经营者有下列情形之一的，由县级以上地方人民政府交通运输主管部门责令改正，处1000元以上3000元以下的罚款；情节严重的，由原许可机关吊销道路运输经营许可证：</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(一)不按批准的客运站点停靠或者不按规定的线路、公布的班次行驶的；</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2.《道路旅客运输及客运站管理规定》第一百条  违反本规定，客运经营者有下列情形之一的，由县级以上道路运输管理机构责令改正，处1000元以上3000元以下的罚款：（一）客运班车不按照批准的配客站点停靠或者不按照规定的线路、日发班次下限行驶的；</w:t>
            </w:r>
          </w:p>
        </w:tc>
        <w:tc>
          <w:tcPr>
            <w:tcW w:w="1485" w:type="dxa"/>
            <w:tcBorders>
              <w:top w:val="nil"/>
              <w:left w:val="nil"/>
              <w:bottom w:val="single" w:color="auto" w:sz="8" w:space="0"/>
            </w:tcBorders>
            <w:tcMar>
              <w:left w:w="108" w:type="dxa"/>
              <w:right w:w="108" w:type="dxa"/>
            </w:tcMar>
            <w:vAlign w:val="center"/>
          </w:tcPr>
          <w:p>
            <w:pPr>
              <w:widowControl/>
              <w:spacing w:line="560" w:lineRule="exact"/>
              <w:jc w:val="center"/>
              <w:rPr>
                <w:sz w:val="32"/>
                <w:szCs w:val="32"/>
              </w:rPr>
            </w:pPr>
            <w:r>
              <w:rPr>
                <w:rFonts w:hint="eastAsia" w:ascii="宋体" w:hAnsi="宋体"/>
                <w:sz w:val="32"/>
                <w:szCs w:val="32"/>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199" w:hRule="atLeast"/>
          <w:jc w:val="center"/>
        </w:trPr>
        <w:tc>
          <w:tcPr>
            <w:tcW w:w="862" w:type="dxa"/>
            <w:tcBorders>
              <w:top w:val="nil"/>
              <w:bottom w:val="single" w:color="auto" w:sz="8"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2</w:t>
            </w:r>
          </w:p>
        </w:tc>
        <w:tc>
          <w:tcPr>
            <w:tcW w:w="2206"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企业从事小微型客车租赁经营业务，未按规定进行备案</w:t>
            </w:r>
          </w:p>
        </w:tc>
        <w:tc>
          <w:tcPr>
            <w:tcW w:w="2333" w:type="dxa"/>
            <w:tcBorders>
              <w:top w:val="nil"/>
              <w:left w:val="single" w:color="auto" w:sz="4" w:space="0"/>
              <w:bottom w:val="single" w:color="auto" w:sz="8"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《小微型客车租赁经营服务管理办法》</w:t>
            </w:r>
          </w:p>
        </w:tc>
        <w:tc>
          <w:tcPr>
            <w:tcW w:w="3450"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从事小微型客车租赁经营业务，应当在向市场监督管理机构办理营业执照后，到柳州市市民服务中心南楼2楼交通窗口进行备案。</w:t>
            </w:r>
          </w:p>
        </w:tc>
        <w:tc>
          <w:tcPr>
            <w:tcW w:w="8167"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小微型客车租赁经营服务管理办法》第二十五条第一款第一项 小微型客车租赁经营者违反本办法，有下列行为之一的，由小微型客车租赁行政主管部门责令改正，并处3000元以上1万元以下罚款：（一）未按照规定办理备案或者变更备案的；</w:t>
            </w:r>
          </w:p>
        </w:tc>
        <w:tc>
          <w:tcPr>
            <w:tcW w:w="1485" w:type="dxa"/>
            <w:tcBorders>
              <w:top w:val="nil"/>
              <w:left w:val="nil"/>
              <w:bottom w:val="single" w:color="auto" w:sz="8" w:space="0"/>
            </w:tcBorders>
            <w:tcMar>
              <w:left w:w="108" w:type="dxa"/>
              <w:right w:w="108" w:type="dxa"/>
            </w:tcMar>
            <w:vAlign w:val="center"/>
          </w:tcPr>
          <w:p>
            <w:pPr>
              <w:widowControl/>
              <w:spacing w:line="560" w:lineRule="exact"/>
              <w:jc w:val="center"/>
              <w:rPr>
                <w:rFonts w:ascii="宋体" w:hAnsi="宋体" w:cs="宋体"/>
                <w:kern w:val="0"/>
                <w:sz w:val="32"/>
                <w:szCs w:val="32"/>
                <w:shd w:val="clear" w:color="auto" w:fill="FFFFFF"/>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2406" w:hRule="atLeast"/>
          <w:jc w:val="center"/>
        </w:trPr>
        <w:tc>
          <w:tcPr>
            <w:tcW w:w="862" w:type="dxa"/>
            <w:tcBorders>
              <w:top w:val="nil"/>
              <w:bottom w:val="single" w:color="auto" w:sz="8"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3</w:t>
            </w:r>
          </w:p>
        </w:tc>
        <w:tc>
          <w:tcPr>
            <w:tcW w:w="2206" w:type="dxa"/>
            <w:tcBorders>
              <w:top w:val="nil"/>
              <w:left w:val="nil"/>
              <w:bottom w:val="single" w:color="auto" w:sz="8" w:space="0"/>
              <w:right w:val="single" w:color="auto" w:sz="8" w:space="0"/>
            </w:tcBorders>
            <w:tcMar>
              <w:left w:w="108" w:type="dxa"/>
              <w:right w:w="108" w:type="dxa"/>
            </w:tcMar>
            <w:vAlign w:val="center"/>
          </w:tcPr>
          <w:p>
            <w:pPr>
              <w:overflowPunct w:val="0"/>
              <w:autoSpaceDE w:val="0"/>
              <w:autoSpaceDN w:val="0"/>
              <w:spacing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企业未取得道路运输经营许可，不得擅自从事道路运输经营</w:t>
            </w:r>
          </w:p>
        </w:tc>
        <w:tc>
          <w:tcPr>
            <w:tcW w:w="2333" w:type="dxa"/>
            <w:tcBorders>
              <w:top w:val="nil"/>
              <w:left w:val="single" w:color="auto" w:sz="4" w:space="0"/>
              <w:bottom w:val="single" w:color="auto" w:sz="8" w:space="0"/>
              <w:right w:val="single" w:color="auto" w:sz="8" w:space="0"/>
            </w:tcBorders>
            <w:tcMar>
              <w:left w:w="108" w:type="dxa"/>
              <w:right w:w="108" w:type="dxa"/>
            </w:tcMar>
            <w:vAlign w:val="center"/>
          </w:tcPr>
          <w:p>
            <w:pPr>
              <w:overflowPunct w:val="0"/>
              <w:autoSpaceDE w:val="0"/>
              <w:autoSpaceDN w:val="0"/>
              <w:spacing w:line="320" w:lineRule="exact"/>
              <w:rPr>
                <w:rFonts w:ascii="仿宋_GB2312" w:hAnsi="宋体" w:eastAsia="仿宋_GB2312"/>
                <w:sz w:val="24"/>
              </w:rPr>
            </w:pPr>
            <w:r>
              <w:rPr>
                <w:rFonts w:hint="eastAsia" w:ascii="仿宋_GB2312" w:hAnsi="宋体" w:eastAsia="仿宋_GB2312"/>
                <w:sz w:val="24"/>
              </w:rPr>
              <w:t>《中华人民共和国道路运输条例》《道路货物运输及站场管理规定》《道路危险货物运输管理规定》《道路旅客运输及客运站管理规定》</w:t>
            </w:r>
          </w:p>
          <w:p>
            <w:pPr>
              <w:overflowPunct w:val="0"/>
              <w:autoSpaceDE w:val="0"/>
              <w:autoSpaceDN w:val="0"/>
              <w:spacing w:line="320" w:lineRule="exact"/>
              <w:ind w:firstLine="480" w:firstLineChars="200"/>
              <w:rPr>
                <w:rFonts w:ascii="仿宋_GB2312" w:hAnsi="宋体" w:eastAsia="仿宋_GB2312"/>
                <w:sz w:val="24"/>
              </w:rPr>
            </w:pPr>
          </w:p>
        </w:tc>
        <w:tc>
          <w:tcPr>
            <w:tcW w:w="34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申请从事道路普通货物运输经营、道路旅客运输经营、道路旅客运输站（场）经营，应当依法向市市场监督管理局办理有关登记手续后，到柳州市市民服务中心南楼2楼综合服务厅1-20号综合窗口或者各城区政务服务中心提出申请并提交相关材料。企业申请从事道路危险货物运输经营应当依法向市市场监督管理局办理有关登记手续后，到柳州市市民服务中心南楼2楼综合服务厅1-20号综合窗口提出申请并提交相关材料。</w:t>
            </w:r>
          </w:p>
        </w:tc>
        <w:tc>
          <w:tcPr>
            <w:tcW w:w="81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val="0"/>
              <w:topLinePunct w:val="0"/>
              <w:autoSpaceDE w:val="0"/>
              <w:autoSpaceDN w:val="0"/>
              <w:bidi w:val="0"/>
              <w:adjustRightInd/>
              <w:snapToGrid/>
              <w:spacing w:line="280" w:lineRule="exact"/>
              <w:ind w:firstLine="480" w:firstLineChars="200"/>
              <w:textAlignment w:val="auto"/>
              <w:rPr>
                <w:rFonts w:ascii="仿宋_GB2312" w:hAnsi="宋体" w:eastAsia="仿宋_GB2312"/>
                <w:sz w:val="24"/>
              </w:rPr>
            </w:pPr>
            <w:r>
              <w:rPr>
                <w:rFonts w:hint="eastAsia" w:ascii="仿宋_GB2312" w:hAnsi="宋体" w:eastAsia="仿宋_GB2312"/>
                <w:sz w:val="24"/>
              </w:rPr>
              <w:t>1.《中华人民共和国道路运输条例》</w:t>
            </w:r>
          </w:p>
          <w:p>
            <w:pPr>
              <w:keepNext w:val="0"/>
              <w:keepLines w:val="0"/>
              <w:pageBreakBefore w:val="0"/>
              <w:widowControl w:val="0"/>
              <w:kinsoku/>
              <w:wordWrap/>
              <w:overflowPunct w:val="0"/>
              <w:topLinePunct w:val="0"/>
              <w:autoSpaceDE w:val="0"/>
              <w:autoSpaceDN w:val="0"/>
              <w:bidi w:val="0"/>
              <w:adjustRightInd/>
              <w:snapToGrid/>
              <w:spacing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第六十三条  违反本条例的规定，未取得道路运输经营许可，擅自从事道路运输经营的，由县级以上地方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pStyle w:val="2"/>
              <w:keepNext w:val="0"/>
              <w:keepLines w:val="0"/>
              <w:pageBreakBefore w:val="0"/>
              <w:widowControl w:val="0"/>
              <w:kinsoku/>
              <w:wordWrap/>
              <w:topLinePunct w:val="0"/>
              <w:bidi w:val="0"/>
              <w:adjustRightInd/>
              <w:snapToGrid/>
              <w:spacing w:after="0"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第六十五条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val="0"/>
              <w:kinsoku/>
              <w:wordWrap/>
              <w:overflowPunct w:val="0"/>
              <w:topLinePunct w:val="0"/>
              <w:autoSpaceDE w:val="0"/>
              <w:autoSpaceDN w:val="0"/>
              <w:bidi w:val="0"/>
              <w:adjustRightInd/>
              <w:snapToGrid/>
              <w:spacing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2.《道路货物运输及站场管理规定》第五十七条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二）使用失效、伪造、变造、被注销等无效的道路运输经营许可证件从事道路货物运输经营的；（三）超越许可的事项，从事道路货物运输经营的。</w:t>
            </w:r>
          </w:p>
          <w:p>
            <w:pPr>
              <w:keepNext w:val="0"/>
              <w:keepLines w:val="0"/>
              <w:pageBreakBefore w:val="0"/>
              <w:widowControl w:val="0"/>
              <w:kinsoku/>
              <w:wordWrap/>
              <w:overflowPunct w:val="0"/>
              <w:topLinePunct w:val="0"/>
              <w:autoSpaceDE w:val="0"/>
              <w:autoSpaceDN w:val="0"/>
              <w:bidi w:val="0"/>
              <w:adjustRightInd/>
              <w:snapToGrid/>
              <w:spacing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3.《道路危险货物运输管理规定》第五十六条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三）超越许可事项，从事道路危险货物运输的；（四）非经营性道路危险货物运输单位从事道路危险货物运输经营的。</w:t>
            </w:r>
          </w:p>
          <w:p>
            <w:pPr>
              <w:pStyle w:val="2"/>
              <w:keepNext w:val="0"/>
              <w:keepLines w:val="0"/>
              <w:pageBreakBefore w:val="0"/>
              <w:widowControl w:val="0"/>
              <w:kinsoku/>
              <w:wordWrap/>
              <w:topLinePunct w:val="0"/>
              <w:bidi w:val="0"/>
              <w:adjustRightInd/>
              <w:snapToGrid/>
              <w:spacing w:after="0"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4.《道路旅客运输及客运站管理规定》</w:t>
            </w:r>
          </w:p>
          <w:p>
            <w:pPr>
              <w:pStyle w:val="2"/>
              <w:keepNext w:val="0"/>
              <w:keepLines w:val="0"/>
              <w:pageBreakBefore w:val="0"/>
              <w:widowControl w:val="0"/>
              <w:kinsoku/>
              <w:wordWrap/>
              <w:topLinePunct w:val="0"/>
              <w:bidi w:val="0"/>
              <w:adjustRightInd/>
              <w:snapToGrid/>
              <w:spacing w:after="0" w:line="280" w:lineRule="exact"/>
              <w:ind w:firstLine="480" w:firstLineChars="200"/>
              <w:textAlignment w:val="auto"/>
              <w:rPr>
                <w:rFonts w:hint="eastAsia" w:ascii="仿宋_GB2312" w:hAnsi="宋体" w:eastAsia="仿宋_GB2312"/>
                <w:sz w:val="24"/>
              </w:rPr>
            </w:pPr>
            <w:r>
              <w:rPr>
                <w:rFonts w:hint="eastAsia" w:ascii="仿宋_GB2312" w:hAnsi="宋体" w:eastAsia="仿宋_GB2312"/>
                <w:sz w:val="24"/>
              </w:rPr>
              <w:t>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取得道路客运经营许可，擅自从事道路客运经营的；（二）未取得道路客运班线经营许可，擅自从事班车客运经营的；（三）使用失效、伪造、变造、被注销等无效的道路客运许可证件从事道路客运经营的；（四）超越许可事项，从事道路客运经营的。</w:t>
            </w:r>
          </w:p>
          <w:p>
            <w:pPr>
              <w:pStyle w:val="2"/>
              <w:keepNext w:val="0"/>
              <w:keepLines w:val="0"/>
              <w:pageBreakBefore w:val="0"/>
              <w:widowControl w:val="0"/>
              <w:kinsoku/>
              <w:wordWrap/>
              <w:topLinePunct w:val="0"/>
              <w:bidi w:val="0"/>
              <w:adjustRightInd/>
              <w:snapToGrid/>
              <w:spacing w:after="0" w:line="280" w:lineRule="exact"/>
              <w:ind w:firstLine="480" w:firstLineChars="200"/>
              <w:textAlignment w:val="auto"/>
              <w:rPr>
                <w:rFonts w:ascii="仿宋_GB2312" w:hAnsi="宋体" w:eastAsia="仿宋_GB2312"/>
                <w:sz w:val="24"/>
              </w:rPr>
            </w:pPr>
            <w:r>
              <w:rPr>
                <w:rFonts w:hint="eastAsia" w:ascii="仿宋_GB2312" w:hAnsi="宋体" w:eastAsia="仿宋_GB2312"/>
                <w:sz w:val="24"/>
              </w:rPr>
              <w:t>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二）使用失效、伪造、变造、被注销等无效的客运站许可证件从事客运站经营的；（三）超越许可事项，从事客运站经营的。</w:t>
            </w:r>
          </w:p>
        </w:tc>
        <w:tc>
          <w:tcPr>
            <w:tcW w:w="1485" w:type="dxa"/>
            <w:tcBorders>
              <w:top w:val="nil"/>
              <w:left w:val="nil"/>
              <w:bottom w:val="single" w:color="auto" w:sz="8" w:space="0"/>
            </w:tcBorders>
            <w:tcMar>
              <w:left w:w="108" w:type="dxa"/>
              <w:right w:w="108" w:type="dxa"/>
            </w:tcMar>
            <w:vAlign w:val="center"/>
          </w:tcPr>
          <w:p>
            <w:pPr>
              <w:widowControl/>
              <w:spacing w:line="560" w:lineRule="exact"/>
              <w:ind w:firstLine="160" w:firstLineChars="50"/>
              <w:jc w:val="center"/>
              <w:rPr>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938" w:hRule="atLeast"/>
          <w:jc w:val="center"/>
        </w:trPr>
        <w:tc>
          <w:tcPr>
            <w:tcW w:w="862" w:type="dxa"/>
            <w:tcBorders>
              <w:top w:val="nil"/>
              <w:bottom w:val="single" w:color="auto" w:sz="8"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4</w:t>
            </w:r>
          </w:p>
        </w:tc>
        <w:tc>
          <w:tcPr>
            <w:tcW w:w="2206"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企业未取得巡游出租汽车经营许可，不得擅自从事巡游出租汽车经营活动。</w:t>
            </w:r>
          </w:p>
        </w:tc>
        <w:tc>
          <w:tcPr>
            <w:tcW w:w="2333" w:type="dxa"/>
            <w:tcBorders>
              <w:top w:val="nil"/>
              <w:left w:val="single" w:color="auto" w:sz="4" w:space="0"/>
              <w:bottom w:val="single" w:color="auto" w:sz="8"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《巡游出租汽车经营服务管理规定》</w:t>
            </w:r>
          </w:p>
        </w:tc>
        <w:tc>
          <w:tcPr>
            <w:tcW w:w="3450"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企业申请从事巡游出租汽车经营的，应当到柳州市市民服务中心南楼2楼综合服务厅1-20号综合窗口办理《道路运输经营许可证》。</w:t>
            </w:r>
          </w:p>
        </w:tc>
        <w:tc>
          <w:tcPr>
            <w:tcW w:w="8167" w:type="dxa"/>
            <w:tcBorders>
              <w:top w:val="nil"/>
              <w:left w:val="nil"/>
              <w:bottom w:val="single" w:color="auto" w:sz="8"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《巡游出租汽车经营服务管理规定》第四十五条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1485" w:type="dxa"/>
            <w:tcBorders>
              <w:top w:val="nil"/>
              <w:left w:val="nil"/>
              <w:bottom w:val="single" w:color="auto" w:sz="8" w:space="0"/>
            </w:tcBorders>
            <w:tcMar>
              <w:left w:w="108" w:type="dxa"/>
              <w:right w:w="108" w:type="dxa"/>
            </w:tcMar>
            <w:vAlign w:val="center"/>
          </w:tcPr>
          <w:p>
            <w:pPr>
              <w:widowControl/>
              <w:spacing w:line="560" w:lineRule="exact"/>
              <w:ind w:firstLine="160" w:firstLineChars="50"/>
              <w:jc w:val="center"/>
              <w:rPr>
                <w:rFonts w:ascii="宋体" w:hAnsi="宋体"/>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793" w:hRule="atLeast"/>
          <w:jc w:val="center"/>
        </w:trPr>
        <w:tc>
          <w:tcPr>
            <w:tcW w:w="862" w:type="dxa"/>
            <w:tcBorders>
              <w:top w:val="nil"/>
              <w:bottom w:val="single" w:color="auto" w:sz="4" w:space="0"/>
              <w:right w:val="single" w:color="auto" w:sz="8" w:space="0"/>
            </w:tcBorders>
            <w:tcMar>
              <w:left w:w="108" w:type="dxa"/>
              <w:right w:w="108" w:type="dxa"/>
            </w:tcMar>
            <w:vAlign w:val="center"/>
          </w:tcPr>
          <w:p>
            <w:pPr>
              <w:widowControl/>
              <w:spacing w:line="560" w:lineRule="exact"/>
              <w:jc w:val="center"/>
              <w:rPr>
                <w:sz w:val="24"/>
              </w:rPr>
            </w:pPr>
            <w:r>
              <w:rPr>
                <w:rFonts w:hint="eastAsia" w:ascii="宋体" w:hAnsi="宋体" w:cs="宋体"/>
                <w:kern w:val="0"/>
                <w:sz w:val="24"/>
              </w:rPr>
              <w:t>5</w:t>
            </w:r>
          </w:p>
        </w:tc>
        <w:tc>
          <w:tcPr>
            <w:tcW w:w="2206" w:type="dxa"/>
            <w:tcBorders>
              <w:top w:val="nil"/>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nil"/>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企业未取得经营许可，不得擅自从事或者变相从事网约车经营活动</w:t>
            </w:r>
          </w:p>
        </w:tc>
        <w:tc>
          <w:tcPr>
            <w:tcW w:w="2333" w:type="dxa"/>
            <w:tcBorders>
              <w:top w:val="nil"/>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《网络预约出租汽车经营服务管理暂行办法》</w:t>
            </w:r>
          </w:p>
        </w:tc>
        <w:tc>
          <w:tcPr>
            <w:tcW w:w="3450" w:type="dxa"/>
            <w:tcBorders>
              <w:top w:val="nil"/>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网约车平台公司申请从事网约车经营的，应当到柳州市市民服务中心南楼2楼综合服务厅1-20号综合窗口办理《网络预约出租汽车经营许可证》。</w:t>
            </w:r>
          </w:p>
        </w:tc>
        <w:tc>
          <w:tcPr>
            <w:tcW w:w="8167" w:type="dxa"/>
            <w:tcBorders>
              <w:top w:val="nil"/>
              <w:left w:val="nil"/>
              <w:bottom w:val="single" w:color="auto" w:sz="4" w:space="0"/>
              <w:right w:val="single" w:color="auto" w:sz="8" w:space="0"/>
            </w:tcBorders>
            <w:tcMar>
              <w:left w:w="108" w:type="dxa"/>
              <w:right w:w="108" w:type="dxa"/>
            </w:tcMar>
            <w:vAlign w:val="center"/>
          </w:tcPr>
          <w:p>
            <w:pPr>
              <w:pStyle w:val="2"/>
              <w:spacing w:after="0" w:line="320" w:lineRule="exact"/>
              <w:ind w:firstLine="360" w:firstLineChars="150"/>
              <w:rPr>
                <w:rFonts w:ascii="仿宋_GB2312" w:hAnsi="宋体" w:eastAsia="仿宋_GB2312"/>
                <w:sz w:val="24"/>
              </w:rPr>
            </w:pPr>
            <w:r>
              <w:rPr>
                <w:rFonts w:hint="eastAsia" w:ascii="仿宋_GB2312" w:hAnsi="宋体" w:eastAsia="仿宋_GB2312"/>
                <w:sz w:val="24"/>
              </w:rPr>
              <w:t>《网络预约出租汽车经营服务管理暂行办法》第三十四条第一项  违反本规定，有下列行为之一的，由县级以上出租汽车行政主管部门责令改正，予以警告，并处以10000元以上30000元以下罚款；构成犯罪的，依法追究刑事责任：（一）未取得经营许可，擅自从事或者变相从事网约车经营活动的；</w:t>
            </w:r>
          </w:p>
        </w:tc>
        <w:tc>
          <w:tcPr>
            <w:tcW w:w="1485" w:type="dxa"/>
            <w:tcBorders>
              <w:top w:val="nil"/>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389"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6</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巡游出租汽车经营者违反经营服务管理规定</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《巡游出租汽车经营服务管理规定》</w:t>
            </w:r>
          </w:p>
          <w:p>
            <w:pPr>
              <w:pStyle w:val="2"/>
              <w:spacing w:after="0" w:line="320" w:lineRule="exact"/>
              <w:ind w:firstLine="480" w:firstLineChars="200"/>
              <w:rPr>
                <w:rFonts w:ascii="仿宋_GB2312" w:hAnsi="宋体" w:eastAsia="仿宋_GB2312"/>
                <w:sz w:val="24"/>
              </w:rPr>
            </w:pP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巡游出租汽车经营者在经营中要遵守《巡游出租汽车经营服务管理规定》，合法合规经营。</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360" w:firstLineChars="150"/>
              <w:rPr>
                <w:rFonts w:ascii="仿宋_GB2312" w:hAnsi="宋体" w:eastAsia="仿宋_GB2312"/>
                <w:sz w:val="24"/>
              </w:rPr>
            </w:pPr>
            <w:r>
              <w:rPr>
                <w:rFonts w:hint="eastAsia" w:ascii="仿宋_GB2312" w:hAnsi="宋体" w:eastAsia="仿宋_GB2312"/>
                <w:sz w:val="24"/>
              </w:rPr>
              <w:t>《巡游出租汽车经营服务管理规定》</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第四十七条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（二）出租或者擅自转让巡游出租汽车车辆经营权的；</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（三）巡游出租汽车驾驶员转包经营未及时纠正的；</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（四）不按照规定保证车辆技术状况良好的；</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（五）不按照规定配置巡游出租汽车相关设备的；</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（六）不按照规定建立并落实投诉举报制度的。</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244"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7</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企业擅自进行公路建设项目施工</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《中华人民共和国公路法》《建设工程质量管理条例》《公路建设监督管理办法》</w:t>
            </w: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企业承接公路建设项目，需到柳州市市民服务中心南楼2楼综合服务厅1-20号综合窗口办理施工许可证。</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1.《中华人民共和国公路法》第二十五条  公路建设项目的施工，须按国务院交通主管部门的规定报请县级以上地方人民政府交通主管部门批准。</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第七十五条  违反本法第二十五条规定，未经有关交通主管部门批准擅自施工的，交通主管部门可以责令停止施工，并可以处五万元以下的罚款</w:t>
            </w:r>
            <w:r>
              <w:rPr>
                <w:rFonts w:hint="eastAsia" w:ascii="MS Mincho" w:hAnsi="MS Mincho" w:eastAsia="MS Mincho" w:cs="MS Mincho"/>
                <w:sz w:val="24"/>
              </w:rPr>
              <w:t>｡</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2.《建设工程质量管理条例》</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第五十七条  违反本条例规定，建设单位未取得施工许可证或者开工报告未经批准，擅自施工的，责令停止施工，限期改正，处工程合同价款百分之一以上百分之二以下的罚款。</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3.《公路建设监督管理办法》</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第十二条  公路建设项目法人应当依法选择勘察、设计、施工、咨询、监理单位，采购与工程建设有关的重要设备、材料，办理施工许可，组织项目实施，组织项目交工验收，准备项目竣工验收和后评价。</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050"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8</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企业多次、严重违法超限运输</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《公路安全保护条例》</w:t>
            </w: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超过公路或者公路桥梁限载标准确需行驶的，企业应当到市民服务中心办理大件运输许可，经批准进行超限运输的车辆，应当随车携带超限运输车辆通行证，按照指定的时间、路线和速度行驶，并悬挂明显标志。</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023"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9</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企业从事机动车维修经营业务，未按规定进行备案</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《中华人民共和国道路运输条例》《机动车维修管理规定》</w:t>
            </w: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 xml:space="preserve">从事各类机动车维修经营业务的，应当在向市场监督管理机构办理营业执照后，到柳州市市民服务中心南楼2楼交通窗口进行备案。 </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1.《中华人民共和国道路运输条例》第六十五条第三款  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2.《机动车维修管理规定》第四十九条  违反本规定，从事机动车维修经营业务，未按规定进行备案的，由县级以上道路运输管理机构责令改正；拒不改正的，处5000元以上2万元以下的罚款。</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098"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10</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企业从事道路货物运输站（场）经营，未按规定进行备案</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《中华人民共和国道路运输条例》</w:t>
            </w:r>
          </w:p>
          <w:p>
            <w:pPr>
              <w:pStyle w:val="2"/>
              <w:spacing w:after="0" w:line="320" w:lineRule="exact"/>
              <w:rPr>
                <w:rFonts w:ascii="仿宋_GB2312" w:hAnsi="宋体" w:eastAsia="仿宋_GB2312"/>
                <w:sz w:val="24"/>
              </w:rPr>
            </w:pP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从事道路货物运输站（场）经营，应当在向市场监督管理机构办理营业执照后，到柳州市市民服务中心南楼2楼交通窗口进行备案。</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360" w:firstLineChars="150"/>
              <w:rPr>
                <w:rFonts w:ascii="仿宋_GB2312" w:hAnsi="宋体" w:eastAsia="仿宋_GB2312"/>
                <w:sz w:val="24"/>
              </w:rPr>
            </w:pPr>
            <w:r>
              <w:rPr>
                <w:rFonts w:hint="eastAsia" w:ascii="仿宋_GB2312" w:hAnsi="宋体" w:eastAsia="仿宋_GB2312"/>
                <w:sz w:val="24"/>
              </w:rPr>
              <w:t>《中华人民共和国道路运输条例》第六十五条第三款  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065"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11</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企业从事机动车驾驶员培训业务，未按规定进行备案</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《中华人民共和国道路运输条例》</w:t>
            </w: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从事机动车驾驶员培训业务，应当在向市场监督管理机构办理营业执照后，到柳州市市民服务中心南楼2楼交通窗口进行备案。</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《中华人民共和国道路运输条例》第六十五条第三款  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kern w:val="0"/>
                <w:sz w:val="32"/>
                <w:szCs w:val="32"/>
                <w:shd w:val="clear" w:color="auto" w:fill="FFFFFF"/>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182"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12</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企业开展定制客运未按照规定备案</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《道路旅客运输及客运站管理规定》</w:t>
            </w:r>
          </w:p>
          <w:p>
            <w:pPr>
              <w:pStyle w:val="2"/>
              <w:spacing w:after="0" w:line="320" w:lineRule="exact"/>
              <w:rPr>
                <w:rFonts w:ascii="仿宋_GB2312" w:hAnsi="宋体" w:eastAsia="仿宋_GB2312"/>
                <w:sz w:val="24"/>
              </w:rPr>
            </w:pP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从事定制客运业务，应当在向市场监督管理机构办理营业执照后，到柳州市市民服务中心南楼2楼综合服务厅1-20号综合窗口进行备案。</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《道路旅客运输及客运站管理规定》</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第一百条第一款第八项　违反本规定，客运经营者有下列情形之一的，由县级以上道路运输管理机构责令改正，处1000元以上3000元以下的罚款：（八）开展定制客运未按照规定备案的；</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kern w:val="0"/>
                <w:sz w:val="32"/>
                <w:szCs w:val="32"/>
                <w:shd w:val="clear" w:color="auto" w:fill="FFFFFF"/>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350"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13</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危险货物承运人未按照规定制作危险货物运单</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《危险货物道路运输安全管理办法》</w:t>
            </w:r>
          </w:p>
          <w:p>
            <w:pPr>
              <w:pStyle w:val="2"/>
              <w:spacing w:after="0" w:line="320" w:lineRule="exact"/>
              <w:ind w:firstLine="480" w:firstLineChars="200"/>
              <w:rPr>
                <w:rFonts w:ascii="仿宋_GB2312" w:hAnsi="宋体" w:eastAsia="仿宋_GB2312"/>
                <w:sz w:val="24"/>
              </w:rPr>
            </w:pP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危险货物承运人应当制作危险货物运单，并交由驾驶人随车携带。危险货物运单应当妥善保存，保存期限不得少于12个月。</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《危险货物道路运输安全管理办法》</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第二十四条  危险货物承运人应当制作危险货物运单，并交由驾驶人随车携带。危险货物运单应当妥善保存，保存期限不得少于12个月。</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危险货物运单格式由国务院交通运输主管部门统一制定。危险货物运单可以是电子或者纸质形式。</w:t>
            </w:r>
          </w:p>
          <w:p>
            <w:pPr>
              <w:pStyle w:val="2"/>
              <w:spacing w:after="0" w:line="320" w:lineRule="exact"/>
              <w:ind w:firstLine="480" w:firstLineChars="200"/>
              <w:rPr>
                <w:rFonts w:hint="eastAsia" w:ascii="仿宋_GB2312" w:hAnsi="宋体" w:eastAsia="仿宋_GB2312"/>
                <w:sz w:val="24"/>
              </w:rPr>
            </w:pPr>
            <w:r>
              <w:rPr>
                <w:rFonts w:hint="eastAsia" w:ascii="仿宋_GB2312" w:hAnsi="宋体" w:eastAsia="仿宋_GB2312"/>
                <w:sz w:val="24"/>
              </w:rPr>
              <w:t>运输危险废物的企业还应当填写并随车携带电子或者纸质形式的危险废物转移联单。</w:t>
            </w:r>
          </w:p>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kern w:val="0"/>
                <w:sz w:val="32"/>
                <w:szCs w:val="32"/>
                <w:shd w:val="clear" w:color="auto" w:fill="FFFFFF"/>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800"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14</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企业未取得线路运营权、未与城市公共交通主管部门签订城市公共汽电车线路特许经营协议，不得擅自从事城市公共汽电车客运线路运营</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《城市公共汽车和电车客运管理规定》</w:t>
            </w:r>
          </w:p>
          <w:p>
            <w:pPr>
              <w:pStyle w:val="2"/>
              <w:spacing w:after="0" w:line="320" w:lineRule="exact"/>
              <w:ind w:firstLine="480" w:firstLineChars="200"/>
              <w:rPr>
                <w:rFonts w:ascii="仿宋_GB2312" w:hAnsi="宋体" w:eastAsia="仿宋_GB2312"/>
                <w:sz w:val="24"/>
              </w:rPr>
            </w:pP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城市公共汽电车客运按照国家相关规定实行特许经营，市交通运输局通过服务质量招投标的方式选择运营企业，授予城市公共汽电车线路运营权，市交通运输局与取得线路运营权的运营企业签订线路特许经营协议。</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《城市公共汽车和电车客运管理规定》第六十条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p>
            <w:pPr>
              <w:pStyle w:val="2"/>
              <w:spacing w:after="0" w:line="320" w:lineRule="exact"/>
              <w:ind w:firstLine="480" w:firstLineChars="200"/>
              <w:rPr>
                <w:rFonts w:ascii="仿宋_GB2312" w:hAnsi="宋体" w:eastAsia="仿宋_GB2312"/>
                <w:sz w:val="24"/>
              </w:rPr>
            </w:pP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447" w:hRule="atLeast"/>
          <w:jc w:val="center"/>
        </w:trPr>
        <w:tc>
          <w:tcPr>
            <w:tcW w:w="862" w:type="dxa"/>
            <w:tcBorders>
              <w:top w:val="single" w:color="auto" w:sz="4" w:space="0"/>
              <w:bottom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15</w:t>
            </w:r>
          </w:p>
        </w:tc>
        <w:tc>
          <w:tcPr>
            <w:tcW w:w="2206"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城市公交运营企业未定期对城市公共汽电车车辆及其安全设施设备进行检测、维护、更新等</w:t>
            </w:r>
          </w:p>
        </w:tc>
        <w:tc>
          <w:tcPr>
            <w:tcW w:w="233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《城市公共汽车和电车客运管理规定》</w:t>
            </w:r>
          </w:p>
        </w:tc>
        <w:tc>
          <w:tcPr>
            <w:tcW w:w="3450" w:type="dxa"/>
            <w:tcBorders>
              <w:top w:val="single" w:color="auto" w:sz="4" w:space="0"/>
              <w:left w:val="nil"/>
              <w:bottom w:val="single" w:color="auto" w:sz="4" w:space="0"/>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城市公交运营企业应严格遵守《城市公共汽车和电车客运管理规定》，合法合规经营。</w:t>
            </w:r>
          </w:p>
        </w:tc>
        <w:tc>
          <w:tcPr>
            <w:tcW w:w="8167" w:type="dxa"/>
            <w:tcBorders>
              <w:top w:val="single" w:color="auto" w:sz="4" w:space="0"/>
              <w:left w:val="nil"/>
              <w:bottom w:val="single" w:color="auto" w:sz="4" w:space="0"/>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《城市公共汽车和电车客运管理规定》 第六十二条  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1485" w:type="dxa"/>
            <w:tcBorders>
              <w:top w:val="single" w:color="auto" w:sz="4" w:space="0"/>
              <w:left w:val="nil"/>
              <w:bottom w:val="single" w:color="auto" w:sz="4" w:space="0"/>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967" w:hRule="atLeast"/>
          <w:jc w:val="center"/>
        </w:trPr>
        <w:tc>
          <w:tcPr>
            <w:tcW w:w="862" w:type="dxa"/>
            <w:tcBorders>
              <w:top w:val="single" w:color="auto" w:sz="4" w:space="0"/>
              <w:right w:val="single" w:color="auto" w:sz="8" w:space="0"/>
            </w:tcBorders>
            <w:tcMar>
              <w:left w:w="108" w:type="dxa"/>
              <w:right w:w="108" w:type="dxa"/>
            </w:tcMar>
            <w:vAlign w:val="center"/>
          </w:tcPr>
          <w:p>
            <w:pPr>
              <w:widowControl/>
              <w:spacing w:line="560" w:lineRule="exact"/>
              <w:jc w:val="center"/>
              <w:rPr>
                <w:rFonts w:ascii="宋体" w:hAnsi="宋体" w:cs="宋体"/>
                <w:kern w:val="0"/>
                <w:sz w:val="24"/>
              </w:rPr>
            </w:pPr>
            <w:r>
              <w:rPr>
                <w:rFonts w:hint="eastAsia" w:ascii="宋体" w:hAnsi="宋体" w:cs="宋体"/>
                <w:kern w:val="0"/>
                <w:sz w:val="24"/>
              </w:rPr>
              <w:t>16</w:t>
            </w:r>
          </w:p>
        </w:tc>
        <w:tc>
          <w:tcPr>
            <w:tcW w:w="2206" w:type="dxa"/>
            <w:tcBorders>
              <w:top w:val="single" w:color="auto" w:sz="4" w:space="0"/>
              <w:left w:val="nil"/>
              <w:right w:val="single" w:color="auto" w:sz="8" w:space="0"/>
            </w:tcBorders>
            <w:tcMar>
              <w:left w:w="108" w:type="dxa"/>
              <w:right w:w="108" w:type="dxa"/>
            </w:tcMar>
            <w:vAlign w:val="center"/>
          </w:tcPr>
          <w:p>
            <w:pPr>
              <w:pStyle w:val="2"/>
              <w:spacing w:after="0" w:line="320" w:lineRule="exact"/>
              <w:jc w:val="center"/>
              <w:rPr>
                <w:rFonts w:ascii="仿宋_GB2312" w:hAnsi="宋体" w:eastAsia="仿宋_GB2312"/>
                <w:sz w:val="24"/>
              </w:rPr>
            </w:pPr>
            <w:r>
              <w:rPr>
                <w:rFonts w:hint="eastAsia" w:ascii="仿宋_GB2312" w:hAnsi="宋体" w:eastAsia="仿宋_GB2312"/>
                <w:sz w:val="24"/>
                <w:lang w:eastAsia="zh-CN"/>
              </w:rPr>
              <w:t>柳州</w:t>
            </w:r>
            <w:r>
              <w:rPr>
                <w:rFonts w:hint="eastAsia" w:ascii="仿宋_GB2312" w:hAnsi="宋体" w:eastAsia="仿宋_GB2312"/>
                <w:sz w:val="24"/>
              </w:rPr>
              <w:t>市交通运输局</w:t>
            </w:r>
          </w:p>
        </w:tc>
        <w:tc>
          <w:tcPr>
            <w:tcW w:w="2234" w:type="dxa"/>
            <w:tcBorders>
              <w:top w:val="single" w:color="auto" w:sz="4" w:space="0"/>
              <w:left w:val="nil"/>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企业未经许可擅自经营或者超越许可范围经营水路运输业务或者国内船舶管理业务</w:t>
            </w:r>
          </w:p>
        </w:tc>
        <w:tc>
          <w:tcPr>
            <w:tcW w:w="2333" w:type="dxa"/>
            <w:tcBorders>
              <w:top w:val="single" w:color="auto" w:sz="4" w:space="0"/>
              <w:left w:val="single" w:color="auto" w:sz="4" w:space="0"/>
              <w:right w:val="single" w:color="auto" w:sz="8" w:space="0"/>
            </w:tcBorders>
            <w:tcMar>
              <w:left w:w="108" w:type="dxa"/>
              <w:right w:w="108" w:type="dxa"/>
            </w:tcMar>
            <w:vAlign w:val="center"/>
          </w:tcPr>
          <w:p>
            <w:pPr>
              <w:pStyle w:val="2"/>
              <w:spacing w:after="0" w:line="320" w:lineRule="exact"/>
              <w:rPr>
                <w:rFonts w:ascii="仿宋_GB2312" w:hAnsi="宋体" w:eastAsia="仿宋_GB2312"/>
                <w:sz w:val="24"/>
              </w:rPr>
            </w:pPr>
            <w:r>
              <w:rPr>
                <w:rFonts w:hint="eastAsia" w:ascii="仿宋_GB2312" w:hAnsi="宋体" w:eastAsia="仿宋_GB2312"/>
                <w:sz w:val="24"/>
              </w:rPr>
              <w:t>《国内水路运输管理条例》</w:t>
            </w:r>
          </w:p>
        </w:tc>
        <w:tc>
          <w:tcPr>
            <w:tcW w:w="3450" w:type="dxa"/>
            <w:tcBorders>
              <w:top w:val="single" w:color="auto" w:sz="4" w:space="0"/>
              <w:left w:val="nil"/>
              <w:right w:val="single" w:color="auto" w:sz="8" w:space="0"/>
            </w:tcBorders>
            <w:tcMar>
              <w:left w:w="108" w:type="dxa"/>
              <w:right w:w="108" w:type="dxa"/>
            </w:tcMar>
            <w:vAlign w:val="center"/>
          </w:tcPr>
          <w:p>
            <w:pPr>
              <w:pStyle w:val="2"/>
              <w:keepNext w:val="0"/>
              <w:keepLines w:val="0"/>
              <w:pageBreakBefore w:val="0"/>
              <w:widowControl w:val="0"/>
              <w:kinsoku/>
              <w:wordWrap/>
              <w:topLinePunct w:val="0"/>
              <w:bidi w:val="0"/>
              <w:adjustRightInd/>
              <w:snapToGrid/>
              <w:spacing w:after="0" w:line="320" w:lineRule="exact"/>
              <w:ind w:firstLine="480" w:firstLineChars="200"/>
              <w:textAlignment w:val="auto"/>
              <w:rPr>
                <w:rFonts w:ascii="仿宋_GB2312" w:hAnsi="宋体" w:eastAsia="仿宋_GB2312"/>
                <w:sz w:val="24"/>
              </w:rPr>
            </w:pPr>
            <w:r>
              <w:rPr>
                <w:rFonts w:hint="eastAsia" w:ascii="仿宋_GB2312" w:hAnsi="宋体" w:eastAsia="仿宋_GB2312"/>
                <w:sz w:val="24"/>
              </w:rPr>
              <w:t>企业要经营水路运输业务或者国内船舶管理业务的，需到柳州市市民服务中心南楼2楼综合服务厅1-20号综合窗口办理《国内水路运输经营许可证》。</w:t>
            </w:r>
          </w:p>
        </w:tc>
        <w:tc>
          <w:tcPr>
            <w:tcW w:w="8167" w:type="dxa"/>
            <w:tcBorders>
              <w:top w:val="single" w:color="auto" w:sz="4" w:space="0"/>
              <w:left w:val="nil"/>
              <w:right w:val="single" w:color="auto" w:sz="8" w:space="0"/>
            </w:tcBorders>
            <w:tcMar>
              <w:left w:w="108" w:type="dxa"/>
              <w:right w:w="108" w:type="dxa"/>
            </w:tcMar>
            <w:vAlign w:val="center"/>
          </w:tcPr>
          <w:p>
            <w:pPr>
              <w:pStyle w:val="2"/>
              <w:spacing w:after="0" w:line="320" w:lineRule="exact"/>
              <w:ind w:firstLine="480" w:firstLineChars="200"/>
              <w:rPr>
                <w:rFonts w:ascii="仿宋_GB2312" w:hAnsi="宋体" w:eastAsia="仿宋_GB2312"/>
                <w:sz w:val="24"/>
              </w:rPr>
            </w:pPr>
            <w:r>
              <w:rPr>
                <w:rFonts w:hint="eastAsia" w:ascii="仿宋_GB2312" w:hAnsi="宋体" w:eastAsia="仿宋_GB2312"/>
                <w:sz w:val="24"/>
              </w:rPr>
              <w:t>《国内水路运输管理条例》第三十三条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485" w:type="dxa"/>
            <w:tcBorders>
              <w:top w:val="single" w:color="auto" w:sz="4" w:space="0"/>
              <w:left w:val="nil"/>
            </w:tcBorders>
            <w:tcMar>
              <w:left w:w="108" w:type="dxa"/>
              <w:right w:w="108" w:type="dxa"/>
            </w:tcMar>
            <w:vAlign w:val="center"/>
          </w:tcPr>
          <w:p>
            <w:pPr>
              <w:widowControl/>
              <w:spacing w:line="560" w:lineRule="exact"/>
              <w:ind w:firstLine="160" w:firstLineChars="50"/>
              <w:jc w:val="center"/>
              <w:rPr>
                <w:rFonts w:ascii="宋体" w:hAnsi="宋体" w:cs="宋体"/>
                <w:b/>
                <w:kern w:val="0"/>
                <w:sz w:val="32"/>
                <w:szCs w:val="32"/>
              </w:rPr>
            </w:pPr>
            <w:r>
              <w:rPr>
                <w:rFonts w:hint="eastAsia" w:ascii="宋体" w:hAnsi="宋体" w:cs="宋体"/>
                <w:kern w:val="0"/>
                <w:sz w:val="32"/>
                <w:szCs w:val="32"/>
                <w:shd w:val="clear" w:color="auto" w:fill="FFFFFF"/>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900" w:firstLineChars="3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备注：1．发生频率较高的为★★★，发生频率一般的为★★，发生频率较少的为★；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1200" w:firstLineChars="400"/>
        <w:jc w:val="left"/>
        <w:textAlignment w:val="auto"/>
        <w:rPr>
          <w:rFonts w:hint="eastAsia" w:ascii="仿宋_GB2312" w:hAnsi="仿宋_GB2312" w:eastAsia="仿宋_GB2312" w:cs="仿宋_GB2312"/>
          <w:i w:val="0"/>
          <w:caps w:val="0"/>
          <w:color w:val="auto"/>
          <w:spacing w:val="0"/>
          <w:kern w:val="0"/>
          <w:sz w:val="30"/>
          <w:szCs w:val="30"/>
          <w:shd w:val="clear" w:color="auto" w:fill="FFFFFF"/>
          <w:lang w:val="en-US" w:eastAsia="zh-CN" w:bidi="ar"/>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　　2.该清单并未涵盖所有领域违法违规行为。</w:t>
      </w:r>
    </w:p>
    <w:p>
      <w:pPr>
        <w:rPr>
          <w:rFonts w:hint="eastAsia" w:ascii="仿宋_GB2312" w:hAnsi="宋体" w:eastAsia="仿宋_GB2312" w:cs="宋体"/>
          <w:kern w:val="0"/>
          <w:sz w:val="30"/>
          <w:szCs w:val="30"/>
          <w:shd w:val="clear" w:color="auto" w:fill="FFFFFF"/>
        </w:rPr>
      </w:pPr>
      <w:r>
        <w:rPr>
          <w:rFonts w:hint="eastAsia" w:ascii="仿宋_GB2312" w:hAnsi="仿宋_GB2312" w:eastAsia="仿宋_GB2312" w:cs="仿宋_GB2312"/>
          <w:i w:val="0"/>
          <w:caps w:val="0"/>
          <w:color w:val="auto"/>
          <w:spacing w:val="0"/>
          <w:kern w:val="0"/>
          <w:sz w:val="30"/>
          <w:szCs w:val="30"/>
          <w:shd w:val="clear" w:color="auto" w:fill="FFFFFF"/>
          <w:lang w:val="en-US" w:eastAsia="zh-CN" w:bidi="ar"/>
        </w:rPr>
        <w:t>　　　　　　3.合规建议仅为行政指导，不作为企业免责依据。</w:t>
      </w:r>
    </w:p>
    <w:sectPr>
      <w:footerReference r:id="rId3" w:type="default"/>
      <w:pgSz w:w="23757" w:h="16783"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宋体"/>
    <w:panose1 w:val="020206090402050803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80"/>
    <w:rsid w:val="00003CE7"/>
    <w:rsid w:val="00070291"/>
    <w:rsid w:val="0008355D"/>
    <w:rsid w:val="00090E6B"/>
    <w:rsid w:val="000A643C"/>
    <w:rsid w:val="000B5A04"/>
    <w:rsid w:val="000D53F8"/>
    <w:rsid w:val="000D6B73"/>
    <w:rsid w:val="0011176A"/>
    <w:rsid w:val="00140EAB"/>
    <w:rsid w:val="001449F3"/>
    <w:rsid w:val="001458B1"/>
    <w:rsid w:val="0015151E"/>
    <w:rsid w:val="001A436B"/>
    <w:rsid w:val="001E719B"/>
    <w:rsid w:val="001F2B5B"/>
    <w:rsid w:val="001F7381"/>
    <w:rsid w:val="002163BA"/>
    <w:rsid w:val="002C02B3"/>
    <w:rsid w:val="002D2C43"/>
    <w:rsid w:val="0030078A"/>
    <w:rsid w:val="0030498A"/>
    <w:rsid w:val="00315233"/>
    <w:rsid w:val="003811D9"/>
    <w:rsid w:val="00382C68"/>
    <w:rsid w:val="00382C7F"/>
    <w:rsid w:val="003C2E8B"/>
    <w:rsid w:val="003E7814"/>
    <w:rsid w:val="00407AA8"/>
    <w:rsid w:val="00414A80"/>
    <w:rsid w:val="00472989"/>
    <w:rsid w:val="004B6F46"/>
    <w:rsid w:val="00522F4F"/>
    <w:rsid w:val="00563A73"/>
    <w:rsid w:val="005A5A63"/>
    <w:rsid w:val="006335FA"/>
    <w:rsid w:val="0065606E"/>
    <w:rsid w:val="00661147"/>
    <w:rsid w:val="00734A29"/>
    <w:rsid w:val="00735919"/>
    <w:rsid w:val="00745663"/>
    <w:rsid w:val="007618F1"/>
    <w:rsid w:val="00773398"/>
    <w:rsid w:val="00781969"/>
    <w:rsid w:val="00826EE4"/>
    <w:rsid w:val="00836042"/>
    <w:rsid w:val="00864FC2"/>
    <w:rsid w:val="00897505"/>
    <w:rsid w:val="008E1FE6"/>
    <w:rsid w:val="008F243B"/>
    <w:rsid w:val="008F54D0"/>
    <w:rsid w:val="00901C6C"/>
    <w:rsid w:val="00902D35"/>
    <w:rsid w:val="00923D3A"/>
    <w:rsid w:val="00924CB4"/>
    <w:rsid w:val="009726FF"/>
    <w:rsid w:val="00994E1C"/>
    <w:rsid w:val="009979F8"/>
    <w:rsid w:val="009E24CD"/>
    <w:rsid w:val="00A03B62"/>
    <w:rsid w:val="00A1476C"/>
    <w:rsid w:val="00A240B2"/>
    <w:rsid w:val="00A32D70"/>
    <w:rsid w:val="00A846DA"/>
    <w:rsid w:val="00AC31F4"/>
    <w:rsid w:val="00AF3224"/>
    <w:rsid w:val="00B022F7"/>
    <w:rsid w:val="00B10EDD"/>
    <w:rsid w:val="00B128F6"/>
    <w:rsid w:val="00B33470"/>
    <w:rsid w:val="00B40C47"/>
    <w:rsid w:val="00B622D9"/>
    <w:rsid w:val="00B77A75"/>
    <w:rsid w:val="00BA2A13"/>
    <w:rsid w:val="00BD1CAC"/>
    <w:rsid w:val="00BD57CD"/>
    <w:rsid w:val="00C30779"/>
    <w:rsid w:val="00C32765"/>
    <w:rsid w:val="00C4159F"/>
    <w:rsid w:val="00C460FD"/>
    <w:rsid w:val="00C77095"/>
    <w:rsid w:val="00C95B8C"/>
    <w:rsid w:val="00CB36D7"/>
    <w:rsid w:val="00D664BB"/>
    <w:rsid w:val="00D77AE0"/>
    <w:rsid w:val="00D86C45"/>
    <w:rsid w:val="00D949ED"/>
    <w:rsid w:val="00DC3C25"/>
    <w:rsid w:val="00DF2A00"/>
    <w:rsid w:val="00E8266F"/>
    <w:rsid w:val="00ED4E51"/>
    <w:rsid w:val="00EE02F9"/>
    <w:rsid w:val="00EE757C"/>
    <w:rsid w:val="00F17101"/>
    <w:rsid w:val="00F240BE"/>
    <w:rsid w:val="00F30E8A"/>
    <w:rsid w:val="00F515CC"/>
    <w:rsid w:val="00F60823"/>
    <w:rsid w:val="3FFF22CD"/>
    <w:rsid w:val="5ADF6E83"/>
    <w:rsid w:val="5BBF2520"/>
    <w:rsid w:val="5F5F605B"/>
    <w:rsid w:val="62DE3C7F"/>
    <w:rsid w:val="69EA92EE"/>
    <w:rsid w:val="77F6E5B2"/>
    <w:rsid w:val="79F56FB3"/>
    <w:rsid w:val="7BF75862"/>
    <w:rsid w:val="7E55BA30"/>
    <w:rsid w:val="7F3F8E38"/>
    <w:rsid w:val="BFFB88C2"/>
    <w:rsid w:val="DFE61121"/>
    <w:rsid w:val="DFF681C2"/>
    <w:rsid w:val="DFFDD104"/>
    <w:rsid w:val="F6D55C89"/>
    <w:rsid w:val="F7BF2641"/>
    <w:rsid w:val="FB7A7023"/>
    <w:rsid w:val="FB9B1276"/>
    <w:rsid w:val="FBF782A7"/>
    <w:rsid w:val="FBFF2D81"/>
    <w:rsid w:val="FD6878EA"/>
    <w:rsid w:val="FDBF44E7"/>
    <w:rsid w:val="FDFFAFCE"/>
    <w:rsid w:val="FFE1E3FD"/>
    <w:rsid w:val="FFFDE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sz w:val="24"/>
    </w:rPr>
  </w:style>
  <w:style w:type="character" w:customStyle="1" w:styleId="8">
    <w:name w:val="正文文本 Char"/>
    <w:basedOn w:val="7"/>
    <w:link w:val="2"/>
    <w:qFormat/>
    <w:uiPriority w:val="99"/>
    <w:rPr>
      <w:rFonts w:ascii="Calibri" w:hAnsi="Calibri" w:eastAsia="宋体" w:cs="Times New Roman"/>
      <w:szCs w:val="24"/>
    </w:rPr>
  </w:style>
  <w:style w:type="character" w:customStyle="1" w:styleId="9">
    <w:name w:val="navtiao"/>
    <w:basedOn w:val="7"/>
    <w:qFormat/>
    <w:uiPriority w:val="0"/>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980</Words>
  <Characters>5587</Characters>
  <Lines>46</Lines>
  <Paragraphs>13</Paragraphs>
  <TotalTime>10</TotalTime>
  <ScaleCrop>false</ScaleCrop>
  <LinksUpToDate>false</LinksUpToDate>
  <CharactersWithSpaces>6554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2022-06-16T16:57:00Z</dcterms:created>
  <dc:creator>雷蕾</dc:creator>
  <cp:lastModifiedBy>gxxc</cp:lastModifiedBy>
  <dcterms:modified xsi:type="dcterms:W3CDTF">2022-07-20T17:48:59Z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