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司法鉴定机构违法行为的处罚</w:t>
      </w:r>
    </w:p>
    <w:p>
      <w:pPr>
        <w:adjustRightInd w:val="0"/>
        <w:snapToGrid w:val="0"/>
        <w:spacing w:line="560" w:lineRule="exact"/>
        <w:jc w:val="center"/>
        <w:rPr>
          <w:rFonts w:hint="eastAsia" w:ascii="方正小标宋简体" w:hAnsi="宋体" w:eastAsia="方正小标宋简体"/>
          <w:sz w:val="40"/>
          <w:szCs w:val="40"/>
          <w:lang w:eastAsia="zh-CN"/>
        </w:rPr>
      </w:pPr>
      <w:r>
        <w:rPr>
          <w:rFonts w:hint="eastAsia" w:ascii="方正小标宋简体" w:hAnsi="宋体" w:eastAsia="方正小标宋简体"/>
          <w:sz w:val="44"/>
          <w:szCs w:val="44"/>
          <w:lang w:eastAsia="zh-CN"/>
        </w:rPr>
        <w:t>——</w:t>
      </w:r>
      <w:r>
        <w:rPr>
          <w:rFonts w:hint="eastAsia" w:ascii="方正小标宋简体" w:hAnsi="宋体" w:eastAsia="方正小标宋简体"/>
          <w:sz w:val="40"/>
          <w:szCs w:val="40"/>
          <w:lang w:eastAsia="zh-CN"/>
        </w:rPr>
        <w:t>司法鉴定机构涂改、出借、出租、转让《司法鉴定许可证》或司法鉴定备案文书的处罚</w:t>
      </w:r>
    </w:p>
    <w:p>
      <w:pPr>
        <w:adjustRightInd w:val="0"/>
        <w:snapToGrid w:val="0"/>
        <w:spacing w:line="560" w:lineRule="exact"/>
        <w:jc w:val="center"/>
        <w:rPr>
          <w:rFonts w:ascii="方正小标宋简体" w:hAnsi="宋体" w:eastAsia="方正小标宋简体"/>
          <w:sz w:val="44"/>
          <w:szCs w:val="44"/>
        </w:rPr>
      </w:pP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司法鉴定机构违法行为的处罚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rPr>
              <w:t>司法鉴定机构涂改、出借、出租、转让《司法鉴定许可证》或司法鉴定备案文书的处罚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0772-2103265</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涂改、出借、出租、转让《司法鉴定许可证》或者司法鉴定备案文书的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涂改、出借、出租、转让《司法鉴定许可证》或者司法鉴定备案文书的</w:t>
            </w:r>
          </w:p>
          <w:p>
            <w:pPr>
              <w:adjustRightInd w:val="0"/>
              <w:snapToGrid w:val="0"/>
              <w:spacing w:line="400" w:lineRule="exact"/>
              <w:ind w:firstLine="315" w:firstLineChars="150"/>
              <w:rPr>
                <w:rFonts w:ascii="宋体"/>
                <w:szCs w:val="21"/>
              </w:rPr>
            </w:pP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涂改、出借、出租、转让《司法鉴定许可证》或者司法鉴定备案文书的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w:t>
            </w:r>
            <w:r>
              <w:rPr>
                <w:rFonts w:hint="eastAsia" w:ascii="宋体" w:hAnsi="宋体"/>
                <w:szCs w:val="21"/>
              </w:rPr>
              <w:t>公共法律服务管理科</w:t>
            </w:r>
            <w:r>
              <w:rPr>
                <w:rFonts w:hint="eastAsia" w:ascii="宋体" w:hAnsi="宋体"/>
                <w:kern w:val="1"/>
                <w:szCs w:val="21"/>
              </w:rPr>
              <w:t>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司法鉴定机构违法行为的处罚——司法鉴定机构涂改、出借、出租、转让《司法鉴定许可证》或司法鉴定备案文书的处罚流程图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黑体" w:eastAsia="方正小标宋简体"/>
          <w:b/>
          <w:color w:val="000000"/>
          <w:sz w:val="40"/>
          <w:szCs w:val="40"/>
        </w:rPr>
      </w:pPr>
      <w:r>
        <w:rPr>
          <w:rFonts w:hint="eastAsia" w:ascii="方正小标宋简体" w:hAnsi="宋体" w:eastAsia="方正小标宋简体" w:cs="仿宋_GB2312"/>
          <w:bCs/>
          <w:color w:val="000000"/>
          <w:sz w:val="40"/>
          <w:szCs w:val="40"/>
        </w:rPr>
        <w:t>司法鉴定机构违法行为的处罚——司法鉴定机构涂改、出借、出租、转让《司法鉴定许可证》或司法鉴定备案文书的处罚流程图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1E41EF"/>
    <w:rsid w:val="001E6350"/>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B7B4F"/>
    <w:rsid w:val="004C041C"/>
    <w:rsid w:val="005335B1"/>
    <w:rsid w:val="00552C04"/>
    <w:rsid w:val="00564687"/>
    <w:rsid w:val="005848E2"/>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07FA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43B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84E3271"/>
    <w:rsid w:val="0DD644BC"/>
    <w:rsid w:val="31356AD3"/>
    <w:rsid w:val="35E23E8F"/>
    <w:rsid w:val="3B0E480B"/>
    <w:rsid w:val="3E2827A0"/>
    <w:rsid w:val="4B611430"/>
    <w:rsid w:val="72973030"/>
    <w:rsid w:val="7B3916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2478</Words>
  <Characters>2566</Characters>
  <Lines>26</Lines>
  <Paragraphs>7</Paragraphs>
  <TotalTime>2</TotalTime>
  <ScaleCrop>false</ScaleCrop>
  <LinksUpToDate>false</LinksUpToDate>
  <CharactersWithSpaces>2583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2022-07-11T08:08:42Z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0EAF009C9B734CCEB2FC1EB677D4D1DE</vt:lpwstr>
  </property>
</Properties>
</file>